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distribute"/>
        <w:rPr>
          <w:rFonts w:hint="eastAsia" w:ascii="黑体" w:hAnsi="黑体" w:eastAsia="黑体" w:cs="黑体"/>
          <w:b/>
          <w:color w:val="auto"/>
          <w:sz w:val="52"/>
          <w:szCs w:val="52"/>
          <w:highlight w:val="none"/>
          <w:u w:val="none"/>
          <w:lang w:val="en-US" w:eastAsia="zh-CN"/>
        </w:rPr>
      </w:pPr>
      <w:r>
        <w:rPr>
          <w:rFonts w:hint="eastAsia" w:ascii="黑体" w:hAnsi="黑体" w:eastAsia="黑体" w:cs="黑体"/>
          <w:color w:val="auto"/>
          <w:sz w:val="36"/>
          <w:szCs w:val="44"/>
          <w:highlight w:val="none"/>
        </w:rPr>
        <w:drawing>
          <wp:anchor distT="0" distB="0" distL="114300" distR="114300" simplePos="0" relativeHeight="251660288" behindDoc="0" locked="0" layoutInCell="1" allowOverlap="1">
            <wp:simplePos x="0" y="0"/>
            <wp:positionH relativeFrom="column">
              <wp:posOffset>-212725</wp:posOffset>
            </wp:positionH>
            <wp:positionV relativeFrom="paragraph">
              <wp:posOffset>-290195</wp:posOffset>
            </wp:positionV>
            <wp:extent cx="1172210" cy="1186815"/>
            <wp:effectExtent l="0" t="0" r="8890" b="0"/>
            <wp:wrapSquare wrapText="bothSides"/>
            <wp:docPr id="1" name="图片 2" descr="wordm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ordml://1.png"/>
                    <pic:cNvPicPr>
                      <a:picLocks noChangeAspect="1"/>
                    </pic:cNvPicPr>
                  </pic:nvPicPr>
                  <pic:blipFill>
                    <a:blip r:embed="rId15"/>
                    <a:srcRect l="20383" t="10953" r="23193" b="7802"/>
                    <a:stretch>
                      <a:fillRect/>
                    </a:stretch>
                  </pic:blipFill>
                  <pic:spPr>
                    <a:xfrm>
                      <a:off x="0" y="0"/>
                      <a:ext cx="1172210" cy="1186815"/>
                    </a:xfrm>
                    <a:prstGeom prst="rect">
                      <a:avLst/>
                    </a:prstGeom>
                    <a:noFill/>
                    <a:ln>
                      <a:noFill/>
                    </a:ln>
                  </pic:spPr>
                </pic:pic>
              </a:graphicData>
            </a:graphic>
          </wp:anchor>
        </w:drawing>
      </w:r>
      <w:r>
        <w:rPr>
          <w:rFonts w:hint="eastAsia" w:ascii="黑体" w:hAnsi="黑体" w:eastAsia="黑体" w:cs="黑体"/>
          <w:b/>
          <w:color w:val="auto"/>
          <w:sz w:val="52"/>
          <w:szCs w:val="52"/>
          <w:highlight w:val="none"/>
          <w:u w:val="none"/>
          <w:lang w:val="en-US" w:eastAsia="zh-CN"/>
        </w:rPr>
        <w:t>华夏城投项目管理有限公司</w:t>
      </w:r>
    </w:p>
    <w:p>
      <w:pPr>
        <w:ind w:left="0" w:leftChars="0" w:firstLine="0" w:firstLineChars="0"/>
        <w:jc w:val="distribute"/>
        <w:rPr>
          <w:rFonts w:hint="eastAsia" w:ascii="黑体" w:hAnsi="黑体" w:eastAsia="黑体" w:cs="黑体"/>
          <w:b/>
          <w:color w:val="auto"/>
          <w:highlight w:val="none"/>
          <w:lang w:val="en-US" w:eastAsia="zh-CN"/>
        </w:rPr>
      </w:pPr>
      <w:r>
        <w:rPr>
          <w:rFonts w:hint="eastAsia" w:ascii="黑体" w:hAnsi="黑体" w:eastAsia="黑体" w:cs="黑体"/>
          <w:b/>
          <w:color w:val="auto"/>
          <w:highlight w:val="none"/>
          <w:lang w:val="en-US" w:eastAsia="zh-CN"/>
        </w:rPr>
        <w:t>Huaxia Urban Investment Project Management Co., Ltd</w:t>
      </w:r>
    </w:p>
    <w:p>
      <w:pPr>
        <w:spacing w:before="32" w:line="224" w:lineRule="auto"/>
        <w:ind w:left="508"/>
        <w:rPr>
          <w:rFonts w:hint="eastAsia" w:ascii="黑体" w:hAnsi="黑体" w:eastAsia="黑体" w:cs="黑体"/>
          <w:color w:val="auto"/>
          <w:sz w:val="31"/>
          <w:szCs w:val="31"/>
          <w:highlight w:val="none"/>
        </w:rPr>
      </w:pPr>
    </w:p>
    <w:p>
      <w:pPr>
        <w:pStyle w:val="4"/>
        <w:spacing w:line="247" w:lineRule="auto"/>
        <w:rPr>
          <w:rFonts w:hint="eastAsia" w:ascii="黑体" w:hAnsi="黑体" w:eastAsia="黑体" w:cs="黑体"/>
          <w:color w:val="auto"/>
          <w:highlight w:val="none"/>
        </w:rPr>
      </w:pPr>
    </w:p>
    <w:p>
      <w:pPr>
        <w:pStyle w:val="4"/>
        <w:spacing w:line="247" w:lineRule="auto"/>
        <w:rPr>
          <w:rFonts w:hint="eastAsia" w:ascii="黑体" w:hAnsi="黑体" w:eastAsia="黑体" w:cs="黑体"/>
          <w:color w:val="auto"/>
          <w:highlight w:val="none"/>
        </w:rPr>
      </w:pPr>
    </w:p>
    <w:p>
      <w:pPr>
        <w:pStyle w:val="4"/>
        <w:spacing w:line="247"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pStyle w:val="4"/>
        <w:spacing w:line="248" w:lineRule="auto"/>
        <w:rPr>
          <w:rFonts w:hint="eastAsia" w:ascii="黑体" w:hAnsi="黑体" w:eastAsia="黑体" w:cs="黑体"/>
          <w:color w:val="auto"/>
          <w:highlight w:val="none"/>
        </w:rPr>
      </w:pPr>
    </w:p>
    <w:p>
      <w:pPr>
        <w:spacing w:before="386" w:line="195" w:lineRule="auto"/>
        <w:jc w:val="center"/>
        <w:rPr>
          <w:rFonts w:hint="eastAsia" w:ascii="黑体" w:hAnsi="黑体" w:eastAsia="黑体" w:cs="黑体"/>
          <w:color w:val="auto"/>
          <w:sz w:val="90"/>
          <w:szCs w:val="90"/>
          <w:highlight w:val="none"/>
        </w:rPr>
      </w:pPr>
      <w:r>
        <w:rPr>
          <w:rFonts w:hint="eastAsia" w:ascii="黑体" w:hAnsi="黑体" w:eastAsia="黑体" w:cs="黑体"/>
          <w:color w:val="auto"/>
          <w:spacing w:val="-5"/>
          <w:sz w:val="90"/>
          <w:szCs w:val="90"/>
          <w:highlight w:val="none"/>
        </w:rPr>
        <w:t>需求公示文件</w:t>
      </w: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pStyle w:val="4"/>
        <w:spacing w:line="252" w:lineRule="auto"/>
        <w:rPr>
          <w:rFonts w:hint="eastAsia" w:ascii="黑体" w:hAnsi="黑体" w:eastAsia="黑体" w:cs="黑体"/>
          <w:color w:val="auto"/>
          <w:highlight w:val="none"/>
        </w:rPr>
      </w:pPr>
    </w:p>
    <w:p>
      <w:pPr>
        <w:widowControl/>
        <w:spacing w:line="700" w:lineRule="exact"/>
        <w:ind w:firstLine="562" w:firstLineChars="200"/>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rPr>
        <w:t>项目编号：</w:t>
      </w:r>
      <w:r>
        <w:rPr>
          <w:rFonts w:hint="eastAsia" w:ascii="黑体" w:hAnsi="黑体" w:eastAsia="黑体" w:cs="黑体"/>
          <w:b/>
          <w:color w:val="auto"/>
          <w:sz w:val="28"/>
          <w:szCs w:val="28"/>
          <w:highlight w:val="none"/>
          <w:lang w:eastAsia="zh-CN"/>
        </w:rPr>
        <w:t>HXCT-2024-00</w:t>
      </w:r>
      <w:r>
        <w:rPr>
          <w:rFonts w:hint="eastAsia" w:ascii="黑体" w:hAnsi="黑体" w:eastAsia="黑体" w:cs="黑体"/>
          <w:b/>
          <w:color w:val="auto"/>
          <w:sz w:val="28"/>
          <w:szCs w:val="28"/>
          <w:highlight w:val="none"/>
          <w:lang w:val="en-US" w:eastAsia="zh-CN"/>
        </w:rPr>
        <w:t>9</w:t>
      </w:r>
    </w:p>
    <w:p>
      <w:pPr>
        <w:widowControl/>
        <w:spacing w:line="700" w:lineRule="exact"/>
        <w:ind w:firstLine="562" w:firstLineChars="2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项目名称：</w:t>
      </w:r>
      <w:r>
        <w:rPr>
          <w:rFonts w:hint="eastAsia" w:ascii="黑体" w:hAnsi="黑体" w:eastAsia="黑体" w:cs="黑体"/>
          <w:b/>
          <w:color w:val="auto"/>
          <w:sz w:val="28"/>
          <w:szCs w:val="28"/>
          <w:highlight w:val="none"/>
          <w:lang w:eastAsia="zh-CN"/>
        </w:rPr>
        <w:t>黄石市红十字会自动体外除颤仪（AED）采购项目</w:t>
      </w:r>
    </w:p>
    <w:p>
      <w:pPr>
        <w:widowControl/>
        <w:spacing w:line="700" w:lineRule="exact"/>
        <w:ind w:firstLine="562" w:firstLineChars="200"/>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rPr>
        <w:t>采购单位：</w:t>
      </w:r>
      <w:r>
        <w:rPr>
          <w:rFonts w:hint="eastAsia" w:ascii="黑体" w:hAnsi="黑体" w:eastAsia="黑体" w:cs="黑体"/>
          <w:b/>
          <w:color w:val="auto"/>
          <w:sz w:val="28"/>
          <w:szCs w:val="28"/>
          <w:highlight w:val="none"/>
          <w:lang w:val="en-US" w:eastAsia="zh-CN"/>
        </w:rPr>
        <w:t>黄石市红十字会</w:t>
      </w:r>
    </w:p>
    <w:p>
      <w:pPr>
        <w:tabs>
          <w:tab w:val="left" w:pos="2625"/>
        </w:tabs>
        <w:spacing w:line="480" w:lineRule="auto"/>
        <w:rPr>
          <w:rFonts w:hint="eastAsia" w:ascii="黑体" w:hAnsi="黑体" w:eastAsia="黑体" w:cs="黑体"/>
          <w:b/>
          <w:color w:val="auto"/>
          <w:sz w:val="28"/>
          <w:szCs w:val="28"/>
          <w:highlight w:val="none"/>
        </w:rPr>
      </w:pPr>
    </w:p>
    <w:p>
      <w:pPr>
        <w:pStyle w:val="4"/>
        <w:rPr>
          <w:rFonts w:hint="eastAsia" w:ascii="黑体" w:hAnsi="黑体" w:eastAsia="黑体" w:cs="黑体"/>
          <w:color w:val="auto"/>
          <w:sz w:val="28"/>
          <w:szCs w:val="28"/>
          <w:highlight w:val="none"/>
        </w:rPr>
      </w:pPr>
    </w:p>
    <w:p>
      <w:pPr>
        <w:widowControl/>
        <w:tabs>
          <w:tab w:val="left" w:pos="2625"/>
        </w:tabs>
        <w:spacing w:line="360" w:lineRule="auto"/>
        <w:jc w:val="center"/>
        <w:rPr>
          <w:rFonts w:hint="eastAsia" w:ascii="黑体" w:hAnsi="黑体" w:eastAsia="黑体" w:cs="黑体"/>
          <w:b/>
          <w:color w:val="auto"/>
          <w:spacing w:val="45"/>
          <w:sz w:val="28"/>
          <w:szCs w:val="28"/>
          <w:highlight w:val="none"/>
          <w:lang w:eastAsia="zh-CN"/>
        </w:rPr>
      </w:pPr>
      <w:r>
        <w:rPr>
          <w:rFonts w:hint="eastAsia" w:ascii="黑体" w:hAnsi="黑体" w:eastAsia="黑体" w:cs="黑体"/>
          <w:b/>
          <w:color w:val="auto"/>
          <w:spacing w:val="45"/>
          <w:sz w:val="28"/>
          <w:szCs w:val="28"/>
          <w:highlight w:val="none"/>
        </w:rPr>
        <w:t xml:space="preserve"> </w:t>
      </w:r>
      <w:r>
        <w:rPr>
          <w:rFonts w:hint="eastAsia" w:ascii="黑体" w:hAnsi="黑体" w:eastAsia="黑体" w:cs="黑体"/>
          <w:b/>
          <w:color w:val="auto"/>
          <w:spacing w:val="45"/>
          <w:sz w:val="28"/>
          <w:szCs w:val="28"/>
          <w:highlight w:val="none"/>
          <w:lang w:eastAsia="zh-CN"/>
        </w:rPr>
        <w:t>华夏城投项目管理有限公司</w:t>
      </w:r>
    </w:p>
    <w:p>
      <w:pPr>
        <w:spacing w:line="360" w:lineRule="auto"/>
        <w:jc w:val="center"/>
        <w:rPr>
          <w:rFonts w:hint="eastAsia" w:ascii="黑体" w:hAnsi="黑体" w:eastAsia="黑体" w:cs="黑体"/>
          <w:b/>
          <w:color w:val="auto"/>
          <w:spacing w:val="45"/>
          <w:sz w:val="28"/>
          <w:szCs w:val="28"/>
          <w:highlight w:val="none"/>
        </w:rPr>
        <w:sectPr>
          <w:pgSz w:w="11922" w:h="16860"/>
          <w:pgMar w:top="1417" w:right="1417" w:bottom="1417" w:left="1417" w:header="1077" w:footer="1134" w:gutter="0"/>
          <w:cols w:space="0" w:num="1"/>
          <w:docGrid w:linePitch="286" w:charSpace="0"/>
        </w:sectPr>
      </w:pPr>
      <w:r>
        <w:rPr>
          <w:rFonts w:hint="eastAsia" w:ascii="黑体" w:hAnsi="黑体" w:eastAsia="黑体" w:cs="黑体"/>
          <w:b/>
          <w:color w:val="auto"/>
          <w:spacing w:val="45"/>
          <w:sz w:val="28"/>
          <w:szCs w:val="28"/>
          <w:highlight w:val="none"/>
          <w:lang w:val="en-US" w:eastAsia="zh-CN"/>
        </w:rPr>
        <w:t>2024</w:t>
      </w:r>
      <w:r>
        <w:rPr>
          <w:rFonts w:hint="eastAsia" w:ascii="黑体" w:hAnsi="黑体" w:eastAsia="黑体" w:cs="黑体"/>
          <w:b/>
          <w:color w:val="auto"/>
          <w:spacing w:val="45"/>
          <w:sz w:val="28"/>
          <w:szCs w:val="28"/>
          <w:highlight w:val="none"/>
        </w:rPr>
        <w:t>年</w:t>
      </w:r>
      <w:r>
        <w:rPr>
          <w:rFonts w:hint="eastAsia" w:ascii="黑体" w:hAnsi="黑体" w:eastAsia="黑体" w:cs="黑体"/>
          <w:b/>
          <w:color w:val="auto"/>
          <w:spacing w:val="45"/>
          <w:sz w:val="28"/>
          <w:szCs w:val="28"/>
          <w:highlight w:val="none"/>
          <w:lang w:val="en-US" w:eastAsia="zh-CN"/>
        </w:rPr>
        <w:t>08</w:t>
      </w:r>
      <w:r>
        <w:rPr>
          <w:rFonts w:hint="eastAsia" w:ascii="黑体" w:hAnsi="黑体" w:eastAsia="黑体" w:cs="黑体"/>
          <w:b/>
          <w:color w:val="auto"/>
          <w:spacing w:val="45"/>
          <w:sz w:val="28"/>
          <w:szCs w:val="28"/>
          <w:highlight w:val="none"/>
        </w:rPr>
        <w:t>月</w:t>
      </w:r>
    </w:p>
    <w:p>
      <w:pPr>
        <w:spacing w:before="91" w:line="219" w:lineRule="auto"/>
        <w:ind w:left="3050"/>
        <w:outlineLvl w:val="0"/>
        <w:rPr>
          <w:rFonts w:hint="eastAsia" w:ascii="黑体" w:hAnsi="黑体" w:eastAsia="黑体" w:cs="黑体"/>
          <w:color w:val="auto"/>
          <w:sz w:val="28"/>
          <w:szCs w:val="28"/>
          <w:highlight w:val="none"/>
          <w:lang w:val="en-US" w:eastAsia="zh-CN"/>
        </w:rPr>
      </w:pPr>
      <w:r>
        <w:rPr>
          <w:rFonts w:hint="eastAsia" w:ascii="黑体" w:hAnsi="黑体" w:eastAsia="黑体" w:cs="黑体"/>
          <w:b/>
          <w:bCs/>
          <w:color w:val="auto"/>
          <w:spacing w:val="-8"/>
          <w:sz w:val="28"/>
          <w:szCs w:val="28"/>
          <w:highlight w:val="none"/>
        </w:rPr>
        <w:t>第一部分</w:t>
      </w:r>
      <w:r>
        <w:rPr>
          <w:rFonts w:hint="eastAsia" w:ascii="黑体" w:hAnsi="黑体" w:eastAsia="黑体" w:cs="黑体"/>
          <w:b/>
          <w:bCs/>
          <w:color w:val="auto"/>
          <w:spacing w:val="57"/>
          <w:sz w:val="28"/>
          <w:szCs w:val="28"/>
          <w:highlight w:val="none"/>
        </w:rPr>
        <w:t xml:space="preserve"> </w:t>
      </w:r>
      <w:r>
        <w:rPr>
          <w:rFonts w:hint="eastAsia" w:ascii="黑体" w:hAnsi="黑体" w:eastAsia="黑体" w:cs="黑体"/>
          <w:b/>
          <w:bCs/>
          <w:color w:val="auto"/>
          <w:spacing w:val="57"/>
          <w:sz w:val="28"/>
          <w:szCs w:val="28"/>
          <w:highlight w:val="none"/>
          <w:lang w:val="en-US" w:eastAsia="zh-CN"/>
        </w:rPr>
        <w:t>征集公告</w:t>
      </w:r>
    </w:p>
    <w:p>
      <w:pPr>
        <w:bidi w:val="0"/>
        <w:spacing w:line="360" w:lineRule="auto"/>
        <w:rPr>
          <w:rFonts w:hint="eastAsia" w:ascii="黑体" w:hAnsi="黑体" w:eastAsia="黑体" w:cs="黑体"/>
          <w:b/>
          <w:bCs/>
          <w:color w:val="auto"/>
          <w:sz w:val="24"/>
          <w:szCs w:val="24"/>
          <w:highlight w:val="none"/>
        </w:rPr>
      </w:pPr>
      <w:bookmarkStart w:id="0" w:name="_Toc28359012"/>
      <w:bookmarkStart w:id="1" w:name="_Toc35393798"/>
      <w:bookmarkStart w:id="2" w:name="_Toc35393629"/>
      <w:bookmarkStart w:id="3" w:name="_Toc28359089"/>
      <w:r>
        <w:rPr>
          <w:rFonts w:hint="eastAsia" w:ascii="黑体" w:hAnsi="黑体" w:eastAsia="黑体" w:cs="黑体"/>
          <w:b/>
          <w:bCs/>
          <w:color w:val="auto"/>
          <w:sz w:val="24"/>
          <w:szCs w:val="24"/>
          <w:highlight w:val="none"/>
          <w:lang w:val="en-US" w:eastAsia="zh-CN"/>
        </w:rPr>
        <w:t>一、</w:t>
      </w:r>
      <w:r>
        <w:rPr>
          <w:rFonts w:hint="eastAsia" w:ascii="黑体" w:hAnsi="黑体" w:eastAsia="黑体" w:cs="黑体"/>
          <w:b/>
          <w:bCs/>
          <w:color w:val="auto"/>
          <w:sz w:val="24"/>
          <w:szCs w:val="24"/>
          <w:highlight w:val="none"/>
        </w:rPr>
        <w:t>项目基本情况</w:t>
      </w:r>
      <w:bookmarkEnd w:id="0"/>
      <w:bookmarkEnd w:id="1"/>
      <w:bookmarkEnd w:id="2"/>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1、项目编号：</w:t>
      </w:r>
      <w:r>
        <w:rPr>
          <w:rFonts w:hint="eastAsia" w:ascii="黑体" w:hAnsi="黑体" w:eastAsia="黑体" w:cs="黑体"/>
          <w:color w:val="auto"/>
          <w:sz w:val="24"/>
          <w:szCs w:val="24"/>
          <w:highlight w:val="none"/>
          <w:lang w:val="en-US" w:eastAsia="zh-CN"/>
        </w:rPr>
        <w:t>HXCT-2024-009</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lang w:eastAsia="zh-CN"/>
        </w:rPr>
        <w:t>黄石市红十字会自动体外除颤仪（AED）采购项目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、最高限价：</w:t>
      </w:r>
      <w:r>
        <w:rPr>
          <w:rFonts w:hint="eastAsia" w:ascii="黑体" w:hAnsi="黑体" w:eastAsia="黑体" w:cs="黑体"/>
          <w:color w:val="auto"/>
          <w:sz w:val="24"/>
          <w:szCs w:val="24"/>
          <w:highlight w:val="none"/>
          <w:lang w:val="en-US" w:eastAsia="zh-CN"/>
        </w:rPr>
        <w:t>58万</w:t>
      </w:r>
      <w:r>
        <w:rPr>
          <w:rFonts w:hint="eastAsia" w:ascii="黑体" w:hAnsi="黑体" w:eastAsia="黑体" w:cs="黑体"/>
          <w:color w:val="auto"/>
          <w:sz w:val="24"/>
          <w:szCs w:val="24"/>
          <w:highlight w:val="none"/>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合同履行期限</w:t>
      </w:r>
      <w:r>
        <w:rPr>
          <w:rFonts w:hint="eastAsia" w:ascii="黑体" w:hAnsi="黑体" w:eastAsia="黑体" w:cs="黑体"/>
          <w:color w:val="auto"/>
          <w:sz w:val="24"/>
          <w:szCs w:val="24"/>
          <w:highlight w:val="none"/>
        </w:rPr>
        <w:t>：</w:t>
      </w:r>
      <w:r>
        <w:rPr>
          <w:rFonts w:hint="eastAsia" w:ascii="黑体" w:hAnsi="黑体" w:eastAsia="黑体" w:cs="黑体"/>
          <w:sz w:val="24"/>
          <w:szCs w:val="24"/>
          <w:lang w:val="en-US" w:eastAsia="zh-CN"/>
        </w:rPr>
        <w:t>合同签订后30个日历天内完成供货、安装及调试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、采购</w:t>
      </w:r>
      <w:r>
        <w:rPr>
          <w:rFonts w:hint="eastAsia" w:ascii="黑体" w:hAnsi="黑体" w:eastAsia="黑体" w:cs="黑体"/>
          <w:color w:val="auto"/>
          <w:sz w:val="24"/>
          <w:szCs w:val="24"/>
          <w:highlight w:val="none"/>
          <w:lang w:val="en-US" w:eastAsia="zh-CN"/>
        </w:rPr>
        <w:t>内容</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不少于</w:t>
      </w:r>
      <w:r>
        <w:rPr>
          <w:rFonts w:hint="eastAsia" w:ascii="黑体" w:hAnsi="黑体" w:eastAsia="黑体" w:cs="黑体"/>
          <w:color w:val="auto"/>
          <w:sz w:val="24"/>
          <w:szCs w:val="24"/>
          <w:highlight w:val="none"/>
          <w:lang w:val="en-US" w:eastAsia="zh-CN"/>
        </w:rPr>
        <w:t>100台自动体外除颤仪（AED）的供货、安装、调试</w:t>
      </w:r>
    </w:p>
    <w:tbl>
      <w:tblPr>
        <w:tblStyle w:val="10"/>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983"/>
        <w:gridCol w:w="173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序号</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名称</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数量</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default"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1</w:t>
            </w:r>
          </w:p>
        </w:tc>
        <w:tc>
          <w:tcPr>
            <w:tcW w:w="2983" w:type="dxa"/>
            <w:noWrap w:val="0"/>
            <w:vAlign w:val="center"/>
          </w:tcPr>
          <w:p>
            <w:pPr>
              <w:widowControl w:val="0"/>
              <w:spacing w:before="0" w:after="0"/>
              <w:ind w:left="0" w:firstLine="200" w:firstLineChars="0"/>
              <w:jc w:val="center"/>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自动体外除颤仪（AED）</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不少于100台</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采购人确定的地点</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具体详见文件“第</w:t>
      </w:r>
      <w:r>
        <w:rPr>
          <w:rFonts w:hint="eastAsia" w:ascii="黑体" w:hAnsi="黑体" w:eastAsia="黑体" w:cs="黑体"/>
          <w:color w:val="auto"/>
          <w:sz w:val="24"/>
          <w:szCs w:val="24"/>
          <w:highlight w:val="none"/>
          <w:lang w:val="en-US" w:eastAsia="zh-CN"/>
        </w:rPr>
        <w:t>二部分 采购需求</w:t>
      </w:r>
      <w:r>
        <w:rPr>
          <w:rFonts w:hint="eastAsia" w:ascii="黑体" w:hAnsi="黑体" w:eastAsia="黑体" w:cs="黑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、本项目（是/否）接受联合体响应：否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本项目（是/否）接受合同分包：</w:t>
      </w:r>
      <w:r>
        <w:rPr>
          <w:rFonts w:hint="eastAsia" w:ascii="黑体" w:hAnsi="黑体" w:eastAsia="黑体" w:cs="黑体"/>
          <w:color w:val="auto"/>
          <w:sz w:val="24"/>
          <w:szCs w:val="24"/>
          <w:highlight w:val="none"/>
          <w:lang w:val="en-US" w:eastAsia="zh-CN"/>
        </w:rPr>
        <w:t>否</w:t>
      </w:r>
    </w:p>
    <w:p>
      <w:pPr>
        <w:bidi w:val="0"/>
        <w:spacing w:line="360" w:lineRule="auto"/>
        <w:rPr>
          <w:rFonts w:hint="eastAsia" w:ascii="黑体" w:hAnsi="黑体" w:eastAsia="黑体" w:cs="黑体"/>
          <w:color w:val="auto"/>
          <w:sz w:val="24"/>
          <w:szCs w:val="24"/>
          <w:highlight w:val="none"/>
        </w:rPr>
      </w:pPr>
      <w:bookmarkStart w:id="4" w:name="_Toc35393630"/>
      <w:bookmarkStart w:id="5" w:name="_Toc28359090"/>
      <w:bookmarkStart w:id="6" w:name="_Toc28359013"/>
      <w:bookmarkStart w:id="7" w:name="_Toc35393799"/>
      <w:r>
        <w:rPr>
          <w:rFonts w:hint="eastAsia" w:ascii="黑体" w:hAnsi="黑体" w:eastAsia="黑体" w:cs="黑体"/>
          <w:b/>
          <w:bCs/>
          <w:color w:val="auto"/>
          <w:sz w:val="24"/>
          <w:szCs w:val="24"/>
          <w:highlight w:val="none"/>
        </w:rPr>
        <w:t>二、供应商的资格要求</w:t>
      </w:r>
      <w:bookmarkEnd w:id="4"/>
      <w:bookmarkEnd w:id="5"/>
      <w:bookmarkEnd w:id="6"/>
      <w:bookmarkEnd w:id="7"/>
      <w:r>
        <w:rPr>
          <w:rFonts w:hint="eastAsia" w:ascii="黑体" w:hAnsi="黑体" w:eastAsia="黑体" w:cs="黑体"/>
          <w:color w:val="auto"/>
          <w:sz w:val="24"/>
          <w:szCs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1、供应商应具备《政府采购法》第二十二条规定的条件；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（6）法律、行政法规规定的其他条件。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2、未被“信用中国”网站列入失信被执行人名单、重大税收违法失信主体名单、政府采购严重违法失信行为记录名单。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3、单位负责人为同一人或者存在直接控股、管理关系的不同供应商，不得参加本项目同一合同项下的政府采购活动。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为本采购项目提供整体设计、规范编制或者项目管理、监理、检测等服务的，不得再参加本项目的其他招标采购活动。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供应商须具有</w:t>
      </w:r>
      <w:r>
        <w:rPr>
          <w:rFonts w:hint="eastAsia" w:ascii="黑体" w:hAnsi="黑体" w:eastAsia="黑体" w:cs="黑体"/>
          <w:color w:val="auto"/>
          <w:sz w:val="24"/>
          <w:szCs w:val="24"/>
          <w:highlight w:val="none"/>
        </w:rPr>
        <w:t>《医疗器械经营许可证》</w:t>
      </w:r>
      <w:r>
        <w:rPr>
          <w:rFonts w:hint="eastAsia" w:ascii="黑体" w:hAnsi="黑体" w:eastAsia="黑体" w:cs="黑体"/>
          <w:color w:val="auto"/>
          <w:sz w:val="24"/>
          <w:szCs w:val="24"/>
          <w:highlight w:val="none"/>
          <w:lang w:val="en-US" w:eastAsia="zh-CN"/>
        </w:rPr>
        <w:t>或《医疗器械生产许可证》，</w:t>
      </w:r>
      <w:r>
        <w:rPr>
          <w:rFonts w:hint="eastAsia" w:ascii="黑体" w:hAnsi="黑体" w:eastAsia="黑体" w:cs="黑体"/>
          <w:color w:val="auto"/>
          <w:sz w:val="24"/>
          <w:szCs w:val="24"/>
          <w:highlight w:val="none"/>
        </w:rPr>
        <w:t>和</w:t>
      </w:r>
      <w:r>
        <w:rPr>
          <w:rFonts w:hint="eastAsia" w:ascii="黑体" w:hAnsi="黑体" w:eastAsia="黑体" w:cs="黑体"/>
          <w:color w:val="auto"/>
          <w:sz w:val="24"/>
          <w:szCs w:val="24"/>
          <w:highlight w:val="none"/>
          <w:lang w:val="en-US" w:eastAsia="zh-CN"/>
        </w:rPr>
        <w:t>所提供</w:t>
      </w:r>
      <w:r>
        <w:rPr>
          <w:rFonts w:hint="eastAsia" w:ascii="黑体" w:hAnsi="黑体" w:eastAsia="黑体" w:cs="黑体"/>
          <w:color w:val="auto"/>
          <w:sz w:val="24"/>
          <w:szCs w:val="24"/>
          <w:highlight w:val="none"/>
        </w:rPr>
        <w:t>产品的《医疗器械注册证》；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（2）所提供设备的制造商或授权代理商，制造商只能授权一个代理商参加本项目的磋商采购活动，制造商和代理商不得同时参加本项目的磋商采购活动</w:t>
      </w:r>
      <w:r>
        <w:rPr>
          <w:rFonts w:hint="eastAsia" w:ascii="黑体" w:hAnsi="黑体" w:eastAsia="黑体" w:cs="黑体"/>
          <w:color w:val="auto"/>
          <w:sz w:val="24"/>
          <w:szCs w:val="24"/>
          <w:highlight w:val="none"/>
          <w:lang w:eastAsia="zh-CN"/>
        </w:rPr>
        <w:t>。</w:t>
      </w:r>
    </w:p>
    <w:p>
      <w:pPr>
        <w:bidi w:val="0"/>
        <w:spacing w:line="360" w:lineRule="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三、需求公示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1、公示期：</w:t>
      </w:r>
      <w:r>
        <w:rPr>
          <w:rFonts w:hint="eastAsia" w:ascii="黑体" w:hAnsi="黑体" w:eastAsia="黑体" w:cs="黑体"/>
          <w:color w:val="FF0000"/>
          <w:sz w:val="24"/>
          <w:szCs w:val="24"/>
          <w:highlight w:val="none"/>
          <w:lang w:eastAsia="zh-CN"/>
        </w:rPr>
        <w:t>202</w:t>
      </w:r>
      <w:r>
        <w:rPr>
          <w:rFonts w:hint="eastAsia" w:ascii="黑体" w:hAnsi="黑体" w:eastAsia="黑体" w:cs="黑体"/>
          <w:color w:val="FF0000"/>
          <w:sz w:val="24"/>
          <w:szCs w:val="24"/>
          <w:highlight w:val="none"/>
          <w:lang w:val="en-US" w:eastAsia="zh-CN"/>
        </w:rPr>
        <w:t xml:space="preserve">4 </w:t>
      </w:r>
      <w:r>
        <w:rPr>
          <w:rFonts w:hint="eastAsia" w:ascii="黑体" w:hAnsi="黑体" w:eastAsia="黑体" w:cs="黑体"/>
          <w:color w:val="FF0000"/>
          <w:sz w:val="24"/>
          <w:szCs w:val="24"/>
          <w:highlight w:val="none"/>
          <w:lang w:eastAsia="zh-CN"/>
        </w:rPr>
        <w:t>年</w:t>
      </w:r>
      <w:r>
        <w:rPr>
          <w:rFonts w:hint="eastAsia" w:ascii="黑体" w:hAnsi="黑体" w:eastAsia="黑体" w:cs="黑体"/>
          <w:color w:val="FF0000"/>
          <w:sz w:val="24"/>
          <w:szCs w:val="24"/>
          <w:highlight w:val="none"/>
          <w:lang w:val="en-US" w:eastAsia="zh-CN"/>
        </w:rPr>
        <w:t xml:space="preserve"> 08 </w:t>
      </w:r>
      <w:r>
        <w:rPr>
          <w:rFonts w:hint="eastAsia" w:ascii="黑体" w:hAnsi="黑体" w:eastAsia="黑体" w:cs="黑体"/>
          <w:color w:val="FF0000"/>
          <w:sz w:val="24"/>
          <w:szCs w:val="24"/>
          <w:highlight w:val="none"/>
          <w:lang w:eastAsia="zh-CN"/>
        </w:rPr>
        <w:t>月</w:t>
      </w:r>
      <w:r>
        <w:rPr>
          <w:rFonts w:hint="eastAsia" w:ascii="黑体" w:hAnsi="黑体" w:eastAsia="黑体" w:cs="黑体"/>
          <w:color w:val="FF0000"/>
          <w:sz w:val="24"/>
          <w:szCs w:val="24"/>
          <w:highlight w:val="none"/>
          <w:lang w:val="en-US" w:eastAsia="zh-CN"/>
        </w:rPr>
        <w:t xml:space="preserve"> 21 </w:t>
      </w:r>
      <w:r>
        <w:rPr>
          <w:rFonts w:hint="eastAsia" w:ascii="黑体" w:hAnsi="黑体" w:eastAsia="黑体" w:cs="黑体"/>
          <w:color w:val="FF0000"/>
          <w:sz w:val="24"/>
          <w:szCs w:val="24"/>
          <w:highlight w:val="none"/>
          <w:lang w:eastAsia="zh-CN"/>
        </w:rPr>
        <w:t>日至</w:t>
      </w:r>
      <w:r>
        <w:rPr>
          <w:rFonts w:hint="eastAsia" w:ascii="黑体" w:hAnsi="黑体" w:eastAsia="黑体" w:cs="黑体"/>
          <w:color w:val="FF0000"/>
          <w:sz w:val="24"/>
          <w:szCs w:val="24"/>
          <w:highlight w:val="none"/>
          <w:lang w:val="en-US" w:eastAsia="zh-CN"/>
        </w:rPr>
        <w:t xml:space="preserve"> </w:t>
      </w:r>
      <w:r>
        <w:rPr>
          <w:rFonts w:hint="eastAsia" w:ascii="黑体" w:hAnsi="黑体" w:eastAsia="黑体" w:cs="黑体"/>
          <w:color w:val="FF0000"/>
          <w:sz w:val="24"/>
          <w:szCs w:val="24"/>
          <w:highlight w:val="none"/>
          <w:lang w:eastAsia="zh-CN"/>
        </w:rPr>
        <w:t>202</w:t>
      </w:r>
      <w:r>
        <w:rPr>
          <w:rFonts w:hint="eastAsia" w:ascii="黑体" w:hAnsi="黑体" w:eastAsia="黑体" w:cs="黑体"/>
          <w:color w:val="FF0000"/>
          <w:sz w:val="24"/>
          <w:szCs w:val="24"/>
          <w:highlight w:val="none"/>
          <w:lang w:val="en-US" w:eastAsia="zh-CN"/>
        </w:rPr>
        <w:t xml:space="preserve">4 </w:t>
      </w:r>
      <w:r>
        <w:rPr>
          <w:rFonts w:hint="eastAsia" w:ascii="黑体" w:hAnsi="黑体" w:eastAsia="黑体" w:cs="黑体"/>
          <w:color w:val="FF0000"/>
          <w:sz w:val="24"/>
          <w:szCs w:val="24"/>
          <w:highlight w:val="none"/>
          <w:lang w:eastAsia="zh-CN"/>
        </w:rPr>
        <w:t>年</w:t>
      </w:r>
      <w:r>
        <w:rPr>
          <w:rFonts w:hint="eastAsia" w:ascii="黑体" w:hAnsi="黑体" w:eastAsia="黑体" w:cs="黑体"/>
          <w:color w:val="FF0000"/>
          <w:sz w:val="24"/>
          <w:szCs w:val="24"/>
          <w:highlight w:val="none"/>
          <w:lang w:val="en-US" w:eastAsia="zh-CN"/>
        </w:rPr>
        <w:t xml:space="preserve"> 08 </w:t>
      </w:r>
      <w:r>
        <w:rPr>
          <w:rFonts w:hint="eastAsia" w:ascii="黑体" w:hAnsi="黑体" w:eastAsia="黑体" w:cs="黑体"/>
          <w:color w:val="FF0000"/>
          <w:sz w:val="24"/>
          <w:szCs w:val="24"/>
          <w:highlight w:val="none"/>
          <w:lang w:eastAsia="zh-CN"/>
        </w:rPr>
        <w:t>月</w:t>
      </w:r>
      <w:r>
        <w:rPr>
          <w:rFonts w:hint="eastAsia" w:ascii="黑体" w:hAnsi="黑体" w:eastAsia="黑体" w:cs="黑体"/>
          <w:color w:val="FF0000"/>
          <w:sz w:val="24"/>
          <w:szCs w:val="24"/>
          <w:highlight w:val="none"/>
          <w:lang w:val="en-US" w:eastAsia="zh-CN"/>
        </w:rPr>
        <w:t xml:space="preserve"> 28 </w:t>
      </w:r>
      <w:r>
        <w:rPr>
          <w:rFonts w:hint="eastAsia" w:ascii="黑体" w:hAnsi="黑体" w:eastAsia="黑体" w:cs="黑体"/>
          <w:color w:val="FF0000"/>
          <w:sz w:val="24"/>
          <w:szCs w:val="24"/>
          <w:highlight w:val="none"/>
          <w:lang w:eastAsia="zh-CN"/>
        </w:rPr>
        <w:t>日</w:t>
      </w:r>
      <w:r>
        <w:rPr>
          <w:rFonts w:hint="eastAsia" w:ascii="黑体" w:hAnsi="黑体" w:eastAsia="黑体" w:cs="黑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发布公告的媒介：本次采购公告在《</w:t>
      </w:r>
      <w:r>
        <w:rPr>
          <w:rFonts w:hint="eastAsia" w:ascii="黑体" w:hAnsi="黑体" w:eastAsia="黑体" w:cs="黑体"/>
          <w:color w:val="auto"/>
          <w:sz w:val="24"/>
          <w:szCs w:val="24"/>
          <w:highlight w:val="none"/>
          <w:lang w:val="en-US" w:eastAsia="zh-CN"/>
        </w:rPr>
        <w:t>黄石市红十字会</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eastAsia="zh-CN"/>
        </w:rPr>
        <w:fldChar w:fldCharType="begin" w:fldLock="1"/>
      </w:r>
      <w:r>
        <w:rPr>
          <w:rFonts w:hint="eastAsia" w:ascii="黑体" w:hAnsi="黑体" w:eastAsia="黑体" w:cs="黑体"/>
          <w:color w:val="auto"/>
          <w:sz w:val="24"/>
          <w:szCs w:val="24"/>
          <w:highlight w:val="none"/>
          <w:lang w:eastAsia="zh-CN"/>
        </w:rPr>
        <w:instrText xml:space="preserve"> HYPERLINK "http://www.hsztbzx.com）" </w:instrText>
      </w:r>
      <w:r>
        <w:rPr>
          <w:rFonts w:hint="eastAsia" w:ascii="黑体" w:hAnsi="黑体" w:eastAsia="黑体" w:cs="黑体"/>
          <w:color w:val="auto"/>
          <w:sz w:val="24"/>
          <w:szCs w:val="24"/>
          <w:highlight w:val="none"/>
          <w:lang w:eastAsia="zh-CN"/>
        </w:rPr>
        <w:fldChar w:fldCharType="separate"/>
      </w:r>
      <w:r>
        <w:rPr>
          <w:rFonts w:hint="eastAsia" w:ascii="黑体" w:hAnsi="黑体" w:eastAsia="黑体" w:cs="黑体"/>
          <w:color w:val="auto"/>
          <w:sz w:val="24"/>
          <w:szCs w:val="24"/>
          <w:highlight w:val="none"/>
          <w:lang w:val="zh-CN" w:eastAsia="zh-CN"/>
        </w:rPr>
        <w:t>http://hssredcross.org.cn/</w:t>
      </w:r>
      <w:r>
        <w:rPr>
          <w:rFonts w:hint="eastAsia" w:ascii="黑体" w:hAnsi="黑体" w:eastAsia="黑体" w:cs="黑体"/>
          <w:color w:val="auto"/>
          <w:sz w:val="24"/>
          <w:szCs w:val="24"/>
          <w:highlight w:val="none"/>
          <w:lang w:eastAsia="zh-CN"/>
        </w:rPr>
        <w:fldChar w:fldCharType="end"/>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highlight w:val="none"/>
          <w:lang w:val="en-US" w:eastAsia="zh-CN"/>
        </w:rPr>
        <w:t>华夏城投项目管理有限公司</w:t>
      </w:r>
      <w:r>
        <w:rPr>
          <w:rFonts w:hint="eastAsia" w:ascii="黑体" w:hAnsi="黑体" w:eastAsia="黑体" w:cs="黑体"/>
          <w:color w:val="auto"/>
          <w:sz w:val="24"/>
          <w:szCs w:val="24"/>
          <w:highlight w:val="none"/>
          <w:lang w:eastAsia="zh-CN"/>
        </w:rPr>
        <w:t>》https://www.sxhx2001.com/上发布。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需求公示的目的：就采购需求的公正性与专业性征询各潜在供应商的意见，无论是否反馈意见均不影响供应商参与征集名单。如对资格条件和采购需求有相关建议，可在公示期内将书面的建议加盖公章扫描后发至邮箱3806849424@qq.com，未加盖公章或公示期后再发送的将不予受理。</w:t>
      </w:r>
    </w:p>
    <w:p>
      <w:pPr>
        <w:widowControl/>
        <w:spacing w:line="500" w:lineRule="exact"/>
        <w:rPr>
          <w:rFonts w:hint="eastAsia" w:ascii="黑体" w:hAnsi="黑体" w:eastAsia="黑体" w:cs="黑体"/>
          <w:b/>
          <w:bCs/>
          <w:color w:val="auto"/>
          <w:sz w:val="24"/>
          <w:highlight w:val="none"/>
          <w:lang w:val="zh-CN"/>
        </w:rPr>
      </w:pPr>
      <w:r>
        <w:rPr>
          <w:rFonts w:hint="eastAsia" w:ascii="黑体" w:hAnsi="黑体" w:eastAsia="黑体" w:cs="黑体"/>
          <w:b/>
          <w:bCs/>
          <w:color w:val="auto"/>
          <w:sz w:val="24"/>
          <w:highlight w:val="none"/>
        </w:rPr>
        <w:t>四</w:t>
      </w:r>
      <w:r>
        <w:rPr>
          <w:rFonts w:hint="eastAsia" w:ascii="黑体" w:hAnsi="黑体" w:eastAsia="黑体" w:cs="黑体"/>
          <w:b/>
          <w:bCs/>
          <w:color w:val="auto"/>
          <w:sz w:val="24"/>
          <w:highlight w:val="none"/>
          <w:lang w:val="zh-CN"/>
        </w:rPr>
        <w:t>、征集潜在供应商</w:t>
      </w:r>
    </w:p>
    <w:p>
      <w:pPr>
        <w:widowControl/>
        <w:spacing w:line="500" w:lineRule="exact"/>
        <w:ind w:firstLine="480" w:firstLineChars="200"/>
        <w:rPr>
          <w:rFonts w:hint="eastAsia" w:ascii="黑体" w:hAnsi="黑体" w:eastAsia="黑体" w:cs="黑体"/>
          <w:color w:val="auto"/>
          <w:sz w:val="24"/>
          <w:highlight w:val="none"/>
          <w:lang w:val="zh-CN" w:eastAsia="zh-CN"/>
        </w:rPr>
      </w:pPr>
      <w:r>
        <w:rPr>
          <w:rFonts w:hint="eastAsia" w:ascii="黑体" w:hAnsi="黑体" w:eastAsia="黑体" w:cs="黑体"/>
          <w:color w:val="auto"/>
          <w:sz w:val="24"/>
          <w:highlight w:val="none"/>
          <w:lang w:eastAsia="zh-CN"/>
        </w:rPr>
        <w:t>1、</w:t>
      </w:r>
      <w:r>
        <w:rPr>
          <w:rFonts w:hint="eastAsia" w:ascii="黑体" w:hAnsi="黑体" w:eastAsia="黑体" w:cs="黑体"/>
          <w:color w:val="auto"/>
          <w:sz w:val="24"/>
          <w:highlight w:val="none"/>
          <w:lang w:val="zh-CN" w:eastAsia="zh-CN"/>
        </w:rPr>
        <w:t>征集的供应商为本项目备选供应商，最终由</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lang w:val="zh-CN" w:eastAsia="zh-CN"/>
        </w:rPr>
        <w:t>小组确定不少于三家（含三家）供应商参加</w:t>
      </w:r>
      <w:r>
        <w:rPr>
          <w:rFonts w:hint="eastAsia" w:ascii="黑体" w:hAnsi="黑体" w:eastAsia="黑体" w:cs="黑体"/>
          <w:color w:val="auto"/>
          <w:sz w:val="24"/>
          <w:highlight w:val="none"/>
          <w:lang w:eastAsia="zh-CN"/>
        </w:rPr>
        <w:t>竞争性磋商</w:t>
      </w:r>
      <w:r>
        <w:rPr>
          <w:rFonts w:hint="eastAsia" w:ascii="黑体" w:hAnsi="黑体" w:eastAsia="黑体" w:cs="黑体"/>
          <w:color w:val="auto"/>
          <w:sz w:val="24"/>
          <w:highlight w:val="none"/>
          <w:lang w:val="zh-CN" w:eastAsia="zh-CN"/>
        </w:rPr>
        <w:t>。如供应商受邀请后无故不参加</w:t>
      </w:r>
      <w:r>
        <w:rPr>
          <w:rFonts w:hint="eastAsia" w:ascii="黑体" w:hAnsi="黑体" w:eastAsia="黑体" w:cs="黑体"/>
          <w:color w:val="auto"/>
          <w:sz w:val="24"/>
          <w:highlight w:val="none"/>
          <w:lang w:val="en-US" w:eastAsia="zh-CN"/>
        </w:rPr>
        <w:t>磋商</w:t>
      </w:r>
      <w:r>
        <w:rPr>
          <w:rFonts w:hint="eastAsia" w:ascii="黑体" w:hAnsi="黑体" w:eastAsia="黑体" w:cs="黑体"/>
          <w:color w:val="auto"/>
          <w:sz w:val="24"/>
          <w:highlight w:val="none"/>
          <w:lang w:eastAsia="zh-CN"/>
        </w:rPr>
        <w:t>的</w:t>
      </w:r>
      <w:r>
        <w:rPr>
          <w:rFonts w:hint="eastAsia" w:ascii="黑体" w:hAnsi="黑体" w:eastAsia="黑体" w:cs="黑体"/>
          <w:color w:val="auto"/>
          <w:sz w:val="24"/>
          <w:highlight w:val="none"/>
          <w:lang w:val="zh-CN" w:eastAsia="zh-CN"/>
        </w:rPr>
        <w:t>，将被列入</w:t>
      </w:r>
      <w:r>
        <w:rPr>
          <w:rFonts w:hint="eastAsia" w:ascii="黑体" w:hAnsi="黑体" w:eastAsia="黑体" w:cs="黑体"/>
          <w:color w:val="auto"/>
          <w:sz w:val="24"/>
          <w:highlight w:val="none"/>
          <w:lang w:val="en-US" w:eastAsia="zh-CN"/>
        </w:rPr>
        <w:t>黄石</w:t>
      </w:r>
      <w:r>
        <w:rPr>
          <w:rFonts w:hint="eastAsia" w:ascii="黑体" w:hAnsi="黑体" w:eastAsia="黑体" w:cs="黑体"/>
          <w:color w:val="auto"/>
          <w:sz w:val="24"/>
          <w:highlight w:val="none"/>
          <w:lang w:val="zh-CN" w:eastAsia="zh-CN"/>
        </w:rPr>
        <w:t>市政府采购</w:t>
      </w:r>
      <w:r>
        <w:rPr>
          <w:rFonts w:hint="eastAsia" w:ascii="黑体" w:hAnsi="黑体" w:eastAsia="黑体" w:cs="黑体"/>
          <w:color w:val="auto"/>
          <w:sz w:val="24"/>
          <w:highlight w:val="none"/>
          <w:lang w:eastAsia="zh-CN"/>
        </w:rPr>
        <w:t>办公室</w:t>
      </w:r>
      <w:r>
        <w:rPr>
          <w:rFonts w:hint="eastAsia" w:ascii="黑体" w:hAnsi="黑体" w:eastAsia="黑体" w:cs="黑体"/>
          <w:color w:val="auto"/>
          <w:sz w:val="24"/>
          <w:highlight w:val="none"/>
          <w:lang w:val="zh-CN" w:eastAsia="zh-CN"/>
        </w:rPr>
        <w:t>不诚信供应商名单。</w:t>
      </w:r>
    </w:p>
    <w:p>
      <w:pPr>
        <w:widowControl/>
        <w:spacing w:line="500" w:lineRule="exact"/>
        <w:ind w:firstLine="480" w:firstLineChars="200"/>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val="zh-CN" w:eastAsia="zh-CN"/>
        </w:rPr>
        <w:t>有意参与本项目的潜在供应商，报名方式按以下步骤进行：</w:t>
      </w:r>
    </w:p>
    <w:p>
      <w:pPr>
        <w:widowControl/>
        <w:spacing w:line="5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现场购买者须持法定代表人授权委托书原件（含法定代表人及委托人身份证信息）或法定代表人证明书原件（含法定代表人身份证信息），营业执照复印件加盖单位公章获取采购文件。获取地址：华夏城投项目管理有限公司（湖北省黄石市黄石港区明珠花园11-7号801）。</w:t>
      </w:r>
    </w:p>
    <w:p>
      <w:pPr>
        <w:widowControl/>
        <w:spacing w:line="5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网上购买者须将营业执照、法定代表人授权委托书（含法定代表人及委托人身份证信息）或法定代表人证明书（含法定代表人身份证信息）（以上须为原件的扫描件）、购买采购文件的转款记录、联系人姓名及联系方式提交至采购代理机构指定电子邮件（3806849424@qq.com）</w:t>
      </w:r>
    </w:p>
    <w:p>
      <w:pPr>
        <w:widowControl/>
        <w:spacing w:line="500" w:lineRule="exact"/>
        <w:ind w:firstLine="480" w:firstLineChars="200"/>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val="zh-CN" w:eastAsia="zh-CN"/>
        </w:rPr>
        <w:t>报名资料至少应当包含以下内容：</w:t>
      </w:r>
    </w:p>
    <w:p>
      <w:pPr>
        <w:widowControl/>
        <w:spacing w:line="500" w:lineRule="exact"/>
        <w:ind w:firstLine="481" w:firstLineChars="200"/>
        <w:rPr>
          <w:rFonts w:hint="eastAsia" w:ascii="黑体" w:hAnsi="黑体" w:eastAsia="黑体" w:cs="黑体"/>
          <w:b/>
          <w:bCs/>
          <w:color w:val="auto"/>
          <w:sz w:val="24"/>
          <w:highlight w:val="none"/>
          <w:lang w:val="zh-CN"/>
        </w:rPr>
      </w:pPr>
      <w:r>
        <w:rPr>
          <w:rFonts w:hint="eastAsia" w:ascii="黑体" w:hAnsi="黑体" w:eastAsia="黑体" w:cs="黑体"/>
          <w:b/>
          <w:bCs/>
          <w:color w:val="auto"/>
          <w:sz w:val="24"/>
          <w:highlight w:val="none"/>
        </w:rPr>
        <w:t>本征集公告第</w:t>
      </w:r>
      <w:r>
        <w:rPr>
          <w:rFonts w:hint="eastAsia" w:ascii="黑体" w:hAnsi="黑体" w:eastAsia="黑体" w:cs="黑体"/>
          <w:b/>
          <w:bCs/>
          <w:color w:val="auto"/>
          <w:sz w:val="24"/>
          <w:highlight w:val="none"/>
          <w:lang w:val="en-US" w:eastAsia="zh-CN"/>
        </w:rPr>
        <w:t>三部分</w:t>
      </w:r>
      <w:r>
        <w:rPr>
          <w:rFonts w:hint="eastAsia" w:ascii="黑体" w:hAnsi="黑体" w:eastAsia="黑体" w:cs="黑体"/>
          <w:b/>
          <w:bCs/>
          <w:color w:val="auto"/>
          <w:sz w:val="24"/>
          <w:highlight w:val="none"/>
        </w:rPr>
        <w:t>所要求的</w:t>
      </w:r>
      <w:r>
        <w:rPr>
          <w:rFonts w:hint="eastAsia" w:ascii="黑体" w:hAnsi="黑体" w:eastAsia="黑体" w:cs="黑体"/>
          <w:b/>
          <w:bCs/>
          <w:color w:val="auto"/>
          <w:sz w:val="24"/>
          <w:highlight w:val="none"/>
          <w:lang w:val="zh-CN"/>
        </w:rPr>
        <w:t>供应商报名表</w:t>
      </w:r>
      <w:r>
        <w:rPr>
          <w:rFonts w:hint="eastAsia" w:ascii="黑体" w:hAnsi="黑体" w:eastAsia="黑体" w:cs="黑体"/>
          <w:b/>
          <w:bCs/>
          <w:color w:val="auto"/>
          <w:sz w:val="24"/>
          <w:highlight w:val="none"/>
        </w:rPr>
        <w:t>及</w:t>
      </w:r>
      <w:r>
        <w:rPr>
          <w:rFonts w:hint="eastAsia" w:ascii="黑体" w:hAnsi="黑体" w:eastAsia="黑体" w:cs="黑体"/>
          <w:b/>
          <w:bCs/>
          <w:color w:val="auto"/>
          <w:sz w:val="24"/>
          <w:highlight w:val="none"/>
          <w:lang w:val="zh-CN"/>
        </w:rPr>
        <w:t>资格证明材料。</w:t>
      </w:r>
    </w:p>
    <w:p>
      <w:pPr>
        <w:widowControl/>
        <w:spacing w:line="500" w:lineRule="exact"/>
        <w:ind w:firstLine="481" w:firstLineChars="200"/>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五</w:t>
      </w:r>
      <w:r>
        <w:rPr>
          <w:rFonts w:hint="eastAsia" w:ascii="黑体" w:hAnsi="黑体" w:eastAsia="黑体" w:cs="黑体"/>
          <w:b/>
          <w:bCs/>
          <w:color w:val="auto"/>
          <w:sz w:val="24"/>
          <w:highlight w:val="none"/>
          <w:lang w:val="zh-CN"/>
        </w:rPr>
        <w:t>、联系</w:t>
      </w:r>
      <w:r>
        <w:rPr>
          <w:rFonts w:hint="eastAsia" w:ascii="黑体" w:hAnsi="黑体" w:eastAsia="黑体" w:cs="黑体"/>
          <w:b/>
          <w:bCs/>
          <w:color w:val="auto"/>
          <w:sz w:val="24"/>
          <w:highlight w:val="none"/>
        </w:rPr>
        <w:t>方式</w:t>
      </w:r>
    </w:p>
    <w:p>
      <w:pPr>
        <w:widowControl/>
        <w:spacing w:line="50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1、采购人信息</w:t>
      </w:r>
    </w:p>
    <w:p>
      <w:pPr>
        <w:widowControl/>
        <w:spacing w:line="500" w:lineRule="exact"/>
        <w:ind w:firstLine="480" w:firstLineChars="200"/>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val="zh-CN"/>
        </w:rPr>
        <w:t>名  称：</w:t>
      </w:r>
      <w:r>
        <w:rPr>
          <w:rFonts w:hint="eastAsia" w:ascii="黑体" w:hAnsi="黑体" w:eastAsia="黑体" w:cs="黑体"/>
          <w:color w:val="auto"/>
          <w:sz w:val="24"/>
          <w:highlight w:val="none"/>
          <w:lang w:val="en-US" w:eastAsia="zh-CN"/>
        </w:rPr>
        <w:t>黄石市红十字会</w:t>
      </w:r>
    </w:p>
    <w:p>
      <w:pPr>
        <w:widowControl/>
        <w:spacing w:line="500" w:lineRule="exact"/>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zh-CN"/>
        </w:rPr>
        <w:t>地  址：黄石市下陸区团城山街道桂林南路10号</w:t>
      </w:r>
    </w:p>
    <w:p>
      <w:pPr>
        <w:widowControl/>
        <w:spacing w:line="500" w:lineRule="exact"/>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zh-CN"/>
        </w:rPr>
        <w:t>联系人：柯</w:t>
      </w:r>
      <w:bookmarkStart w:id="13" w:name="_GoBack"/>
      <w:bookmarkEnd w:id="13"/>
      <w:r>
        <w:rPr>
          <w:rFonts w:hint="eastAsia" w:ascii="黑体" w:hAnsi="黑体" w:eastAsia="黑体" w:cs="黑体"/>
          <w:color w:val="auto"/>
          <w:sz w:val="24"/>
          <w:highlight w:val="none"/>
          <w:lang w:val="zh-CN"/>
        </w:rPr>
        <w:t>彬</w:t>
      </w:r>
    </w:p>
    <w:p>
      <w:pPr>
        <w:widowControl/>
        <w:spacing w:line="50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电  话：15972543358</w:t>
      </w:r>
    </w:p>
    <w:p>
      <w:pPr>
        <w:widowControl/>
        <w:spacing w:line="50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2、采购代理机构信息</w:t>
      </w:r>
    </w:p>
    <w:p>
      <w:pPr>
        <w:widowControl/>
        <w:spacing w:line="500" w:lineRule="exact"/>
        <w:ind w:firstLine="480" w:firstLineChars="200"/>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val="zh-CN"/>
        </w:rPr>
        <w:t>名  称：</w:t>
      </w:r>
      <w:r>
        <w:rPr>
          <w:rFonts w:hint="eastAsia" w:ascii="黑体" w:hAnsi="黑体" w:eastAsia="黑体" w:cs="黑体"/>
          <w:color w:val="auto"/>
          <w:sz w:val="24"/>
          <w:highlight w:val="none"/>
          <w:lang w:val="en-US" w:eastAsia="zh-CN"/>
        </w:rPr>
        <w:t>华夏城投项目管理有限公司</w:t>
      </w:r>
    </w:p>
    <w:p>
      <w:pPr>
        <w:widowControl/>
        <w:spacing w:line="500" w:lineRule="exact"/>
        <w:ind w:firstLine="480" w:firstLineChars="200"/>
        <w:rPr>
          <w:rFonts w:hint="eastAsia" w:ascii="黑体" w:hAnsi="黑体" w:eastAsia="黑体" w:cs="黑体"/>
          <w:color w:val="auto"/>
          <w:sz w:val="24"/>
          <w:highlight w:val="none"/>
          <w:lang w:val="zh-CN" w:eastAsia="zh-CN"/>
        </w:rPr>
      </w:pPr>
      <w:r>
        <w:rPr>
          <w:rFonts w:hint="eastAsia" w:ascii="黑体" w:hAnsi="黑体" w:eastAsia="黑体" w:cs="黑体"/>
          <w:color w:val="auto"/>
          <w:sz w:val="24"/>
          <w:highlight w:val="none"/>
          <w:lang w:val="zh-CN" w:eastAsia="zh-CN"/>
        </w:rPr>
        <w:t>地</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lang w:val="zh-CN" w:eastAsia="zh-CN"/>
        </w:rPr>
        <w:t>址：黄石市黄石港区明珠花园11-7号801</w:t>
      </w:r>
    </w:p>
    <w:p>
      <w:pPr>
        <w:widowControl/>
        <w:spacing w:line="500" w:lineRule="exact"/>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3、联系方式</w:t>
      </w:r>
    </w:p>
    <w:p>
      <w:pPr>
        <w:widowControl/>
        <w:spacing w:line="500" w:lineRule="exact"/>
        <w:ind w:firstLine="480" w:firstLineChars="200"/>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val="zh-CN" w:eastAsia="zh-CN"/>
        </w:rPr>
        <w:t>联系人：</w:t>
      </w:r>
      <w:r>
        <w:rPr>
          <w:rFonts w:hint="eastAsia" w:ascii="黑体" w:hAnsi="黑体" w:eastAsia="黑体" w:cs="黑体"/>
          <w:color w:val="auto"/>
          <w:sz w:val="24"/>
          <w:highlight w:val="none"/>
          <w:lang w:val="en-US" w:eastAsia="zh-CN"/>
        </w:rPr>
        <w:t>黄琦</w:t>
      </w:r>
    </w:p>
    <w:p>
      <w:pPr>
        <w:widowControl/>
        <w:spacing w:line="500" w:lineRule="exact"/>
        <w:ind w:firstLine="480" w:firstLineChars="200"/>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val="zh-CN" w:eastAsia="zh-CN"/>
        </w:rPr>
        <w:t>电  话：</w:t>
      </w:r>
      <w:r>
        <w:rPr>
          <w:rFonts w:hint="eastAsia" w:ascii="黑体" w:hAnsi="黑体" w:eastAsia="黑体" w:cs="黑体"/>
          <w:color w:val="auto"/>
          <w:sz w:val="24"/>
          <w:highlight w:val="none"/>
          <w:lang w:val="en-US" w:eastAsia="zh-CN"/>
        </w:rPr>
        <w:t>13451041248</w:t>
      </w:r>
    </w:p>
    <w:p>
      <w:pPr>
        <w:numPr>
          <w:ilvl w:val="0"/>
          <w:numId w:val="1"/>
        </w:numPr>
        <w:spacing w:before="91" w:line="220" w:lineRule="auto"/>
        <w:ind w:left="2905"/>
        <w:outlineLvl w:val="0"/>
        <w:rPr>
          <w:rFonts w:hint="eastAsia" w:ascii="黑体" w:hAnsi="黑体" w:eastAsia="黑体" w:cs="黑体"/>
          <w:b/>
          <w:bCs/>
          <w:color w:val="auto"/>
          <w:spacing w:val="-6"/>
          <w:sz w:val="28"/>
          <w:szCs w:val="28"/>
          <w:highlight w:val="none"/>
          <w:lang w:val="en-US" w:eastAsia="zh-CN"/>
        </w:rPr>
        <w:sectPr>
          <w:headerReference r:id="rId5" w:type="default"/>
          <w:footerReference r:id="rId6" w:type="default"/>
          <w:pgSz w:w="11907" w:h="16841"/>
          <w:pgMar w:top="1303" w:right="1417" w:bottom="1305" w:left="1417" w:header="950" w:footer="1140" w:gutter="0"/>
          <w:pgNumType w:fmt="decimal" w:start="1"/>
          <w:cols w:space="720" w:num="1"/>
        </w:sectPr>
      </w:pPr>
    </w:p>
    <w:p>
      <w:pPr>
        <w:numPr>
          <w:ilvl w:val="0"/>
          <w:numId w:val="1"/>
        </w:numPr>
        <w:spacing w:before="91" w:line="220" w:lineRule="auto"/>
        <w:ind w:left="2905"/>
        <w:outlineLvl w:val="0"/>
        <w:rPr>
          <w:rFonts w:hint="eastAsia" w:ascii="黑体" w:hAnsi="黑体" w:eastAsia="黑体" w:cs="黑体"/>
          <w:b/>
          <w:bCs/>
          <w:color w:val="auto"/>
          <w:spacing w:val="-6"/>
          <w:sz w:val="28"/>
          <w:szCs w:val="28"/>
          <w:highlight w:val="none"/>
          <w:lang w:val="en-US" w:eastAsia="zh-CN"/>
        </w:rPr>
      </w:pPr>
      <w:r>
        <w:rPr>
          <w:rFonts w:hint="eastAsia" w:ascii="黑体" w:hAnsi="黑体" w:eastAsia="黑体" w:cs="黑体"/>
          <w:color w:val="auto"/>
          <w:spacing w:val="-6"/>
          <w:sz w:val="28"/>
          <w:szCs w:val="28"/>
          <w:highlight w:val="none"/>
        </w:rPr>
        <w:t xml:space="preserve"> </w:t>
      </w:r>
      <w:r>
        <w:rPr>
          <w:rFonts w:hint="eastAsia" w:ascii="黑体" w:hAnsi="黑体" w:eastAsia="黑体" w:cs="黑体"/>
          <w:b/>
          <w:bCs/>
          <w:color w:val="auto"/>
          <w:spacing w:val="-6"/>
          <w:sz w:val="28"/>
          <w:szCs w:val="28"/>
          <w:highlight w:val="none"/>
          <w:lang w:val="en-US" w:eastAsia="zh-CN"/>
        </w:rPr>
        <w:t>采购需求</w:t>
      </w:r>
    </w:p>
    <w:p>
      <w:pPr>
        <w:keepNext w:val="0"/>
        <w:keepLines w:val="0"/>
        <w:pageBreakBefore w:val="0"/>
        <w:numPr>
          <w:ilvl w:val="0"/>
          <w:numId w:val="0"/>
        </w:numPr>
        <w:wordWrap/>
        <w:overflowPunct/>
        <w:topLinePunct w:val="0"/>
        <w:bidi w:val="0"/>
        <w:spacing w:line="360" w:lineRule="auto"/>
        <w:rPr>
          <w:rFonts w:hint="eastAsia" w:ascii="黑体" w:hAnsi="黑体" w:eastAsia="黑体" w:cs="黑体"/>
          <w:b/>
          <w:bCs/>
          <w:snapToGrid w:val="0"/>
          <w:color w:val="000000"/>
          <w:kern w:val="0"/>
          <w:sz w:val="24"/>
          <w:szCs w:val="24"/>
          <w:highlight w:val="none"/>
          <w:lang w:val="en-US" w:eastAsia="zh-CN" w:bidi="ar"/>
        </w:rPr>
      </w:pPr>
      <w:r>
        <w:rPr>
          <w:rFonts w:hint="eastAsia" w:ascii="黑体" w:hAnsi="黑体" w:eastAsia="黑体" w:cs="黑体"/>
          <w:b/>
          <w:bCs/>
          <w:snapToGrid w:val="0"/>
          <w:color w:val="000000"/>
          <w:kern w:val="0"/>
          <w:sz w:val="24"/>
          <w:szCs w:val="24"/>
          <w:highlight w:val="none"/>
          <w:lang w:val="en-US" w:eastAsia="zh-CN" w:bidi="ar"/>
        </w:rPr>
        <w:t>一、项目需求</w:t>
      </w:r>
    </w:p>
    <w:tbl>
      <w:tblPr>
        <w:tblStyle w:val="10"/>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236"/>
        <w:gridCol w:w="1843"/>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序号</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名称</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数量</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1</w:t>
            </w:r>
          </w:p>
        </w:tc>
        <w:tc>
          <w:tcPr>
            <w:tcW w:w="3236" w:type="dxa"/>
            <w:noWrap w:val="0"/>
            <w:vAlign w:val="center"/>
          </w:tcPr>
          <w:p>
            <w:pPr>
              <w:keepNext w:val="0"/>
              <w:keepLines w:val="0"/>
              <w:pageBreakBefore w:val="0"/>
              <w:widowControl w:val="0"/>
              <w:wordWrap/>
              <w:overflowPunct/>
              <w:topLinePunct w:val="0"/>
              <w:bidi w:val="0"/>
              <w:spacing w:before="0" w:after="0" w:line="360" w:lineRule="auto"/>
              <w:ind w:left="0" w:firstLine="200" w:firstLineChars="0"/>
              <w:jc w:val="center"/>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自动体外除颤仪（AED）</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不少于100台</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采购人确定的地点</w:t>
            </w:r>
          </w:p>
        </w:tc>
      </w:tr>
    </w:tbl>
    <w:p>
      <w:pPr>
        <w:keepNext w:val="0"/>
        <w:keepLines w:val="0"/>
        <w:pageBreakBefore w:val="0"/>
        <w:numPr>
          <w:ilvl w:val="0"/>
          <w:numId w:val="0"/>
        </w:numPr>
        <w:wordWrap/>
        <w:overflowPunct/>
        <w:topLinePunct w:val="0"/>
        <w:bidi w:val="0"/>
        <w:spacing w:line="360" w:lineRule="auto"/>
        <w:rPr>
          <w:rFonts w:hint="eastAsia" w:ascii="黑体" w:hAnsi="黑体" w:eastAsia="黑体" w:cs="黑体"/>
          <w:sz w:val="24"/>
          <w:szCs w:val="24"/>
          <w:highlight w:val="none"/>
          <w:lang w:val="en-US" w:eastAsia="zh-CN"/>
        </w:rPr>
      </w:pPr>
    </w:p>
    <w:p>
      <w:pPr>
        <w:keepNext w:val="0"/>
        <w:keepLines w:val="0"/>
        <w:pageBreakBefore w:val="0"/>
        <w:numPr>
          <w:ilvl w:val="0"/>
          <w:numId w:val="0"/>
        </w:numPr>
        <w:wordWrap/>
        <w:overflowPunct/>
        <w:topLinePunct w:val="0"/>
        <w:bidi w:val="0"/>
        <w:spacing w:line="360" w:lineRule="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二</w:t>
      </w:r>
      <w:r>
        <w:rPr>
          <w:rFonts w:hint="eastAsia" w:ascii="黑体" w:hAnsi="黑体" w:eastAsia="黑体" w:cs="黑体"/>
          <w:b/>
          <w:bCs/>
          <w:snapToGrid w:val="0"/>
          <w:color w:val="000000"/>
          <w:kern w:val="0"/>
          <w:sz w:val="24"/>
          <w:szCs w:val="24"/>
          <w:highlight w:val="none"/>
          <w:lang w:val="en-US" w:eastAsia="zh-CN" w:bidi="ar"/>
        </w:rPr>
        <w:t xml:space="preserve">、技术参数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1.物理规格/性能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1.1整机重量≤2.5KG（含电池和电极片）。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1.2抗冲击/跌落性能：在任意角度从≥1.5米高度跌落后仍能正常使用。（提供说明书或检测报告等证明材料）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1.3防尘防水级别：≥IP55。</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1.4工作温度范围： 0℃～50℃；工作湿度范围：5%～95%。</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1.5 设备使用寿命10年。（提供说明书或检测报告等证明材料）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1.6 设备具有便携把手。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2.除颤性能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2.1采用低能量双相波技术，波形参数可根据病人阻抗进行自动补偿。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2.2输出能量：成人模式最大输出能量≤360J（提供说明书等证明材料）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2.3 可一键快速切换成人/儿童患者类型。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▲2.4开始分析到设备可选择的最大能量电击准备完成的时间&lt;8秒。（提供说明书或检测报告等证明材料）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▲2.5 伪信号过滤功能：为预防起搏器干扰避免造成造成误判，设备有心脏起搏器信号识别且过滤功能；可过滤晃动干扰信号。（提供说明书等证明材料加盖生产厂家公章）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3.除颤电极片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3.1电极片有效期：≥30个月。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▲3.2电极片成份标识上明确不含乳胶成份，以避免部分过敏人群无法使用。（提供说明书等证明材料）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3.3 具有电极片粘贴方式示意图，具有电极片正确粘贴检测及提示功能。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4.电池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4.1 单块电池有效期≥5年。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4.2 满电量状态下，可支持最大能量放电≧300次。（提供说明书或检测报告等证明材料）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4.3可检测电池低电量并给出报警提示，低电量报警后至少可工作30分钟或9次200J除颤充放电。（提供说明书或检测报告等证明材料）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5.操作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★5.1设备提供显示屏，支持动画指导用户执行急救操作。（提供说明书等证明材料）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5.2 操作方式：设备支持一键开机或翻盖开机。（提供说明书或检测报告等证明材料）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▲5.3设备能够根据环境光强度自动调节屏幕显示亮度，适应强光环境下使用。（提供说明书等证明材料加盖生产厂家公章）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5.4提供中英文双语播报，可一键快速切换中英文。（提供说明书或检测报告等证明材料）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6.数据传输和存储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★6.1主机内置4G或5G无线传输功能，可将自检数据和抢救数据（包括心电、阻抗和录音数据）无线传输到管理平台（提供说明书或设备实物图等证明材料）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6.2设备可存储至少1000份自检报告。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6.3具备录音功能，可保存至少60分钟抢救现场录音。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6.4数据存储：可存储ECG波形数据、事件数据、录音数据、急救数据（须有急救时间、CPR 持续时间、放电次数等要素）、等。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7.设备维护与自检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7.1设备具有用户自检和设备自检功能，支持每日、每周、每月设备自检和开机自检。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▲7.2 状态指示：为避免红绿色盲判断错误的问题，设备状态良好与否用图形标识提示，而非红绿颜色显示。（提供说明书等证明材料）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1" w:firstLineChars="200"/>
        <w:textAlignment w:val="baseline"/>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8.AED智能管理系统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8.1物联网系统信息安全性：具备三级信息系统安全等级保护备案证明及信息安全等级保护评测结果通知书。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8.2系统功能：支持对所安装的AED信息维护、性能状况实时监控等功能，包括：AED设备管理、管理人员管理、急救人员管理、急救实时反馈等功能。系统平台支持地图显示模式，通过 AED地图可查看设备总体布防状态。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8.3监控功能：支持对所安装的AED进行全方面监控（包括但不限于自检、定位、报警、预警、电子围栏等）。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8.4系统反馈功能：设备运行状态显示，根据自检结果，正常/故障显示设备状态，故障时发出报警信息并发送手机短信到设备管理者；具有急救事件实时反馈功能，设备一旦开机用于抢救病人即刻反馈；急救事件发生时，系统发送信息至设备绑定管理者或急救员，并自动显示所发生地位置信息，AED抢救患者过程生成的心电数据可通过无线传输至管理系统，无需现场导出数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p>
    <w:p>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sz w:val="24"/>
          <w:szCs w:val="24"/>
          <w:highlight w:val="none"/>
        </w:rPr>
      </w:pPr>
      <w:r>
        <w:rPr>
          <w:rFonts w:hint="eastAsia" w:ascii="黑体" w:hAnsi="黑体" w:eastAsia="黑体" w:cs="黑体"/>
          <w:b/>
          <w:bCs/>
          <w:snapToGrid w:val="0"/>
          <w:color w:val="000000"/>
          <w:kern w:val="0"/>
          <w:sz w:val="24"/>
          <w:szCs w:val="24"/>
          <w:highlight w:val="none"/>
          <w:lang w:val="en-US" w:eastAsia="zh-CN" w:bidi="ar"/>
        </w:rPr>
        <w:t xml:space="preserve">三、时间要求 </w:t>
      </w:r>
    </w:p>
    <w:p>
      <w:pPr>
        <w:keepNext w:val="0"/>
        <w:keepLines w:val="0"/>
        <w:pageBreakBefore w:val="0"/>
        <w:widowControl/>
        <w:suppressLineNumbers w:val="0"/>
        <w:wordWrap/>
        <w:overflowPunct/>
        <w:topLinePunct w:val="0"/>
        <w:bidi w:val="0"/>
        <w:spacing w:line="360" w:lineRule="auto"/>
        <w:ind w:firstLine="480" w:firstLineChars="200"/>
        <w:jc w:val="left"/>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合同签订后30个日历天内完成供货、安装及调试。</w:t>
      </w:r>
    </w:p>
    <w:p>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b/>
          <w:bCs/>
          <w:snapToGrid w:val="0"/>
          <w:color w:val="000000"/>
          <w:kern w:val="0"/>
          <w:sz w:val="24"/>
          <w:szCs w:val="24"/>
          <w:highlight w:val="none"/>
          <w:lang w:val="en-US" w:eastAsia="zh-CN" w:bidi="ar"/>
        </w:rPr>
      </w:pPr>
      <w:r>
        <w:rPr>
          <w:rFonts w:hint="eastAsia" w:ascii="黑体" w:hAnsi="黑体" w:eastAsia="黑体" w:cs="黑体"/>
          <w:b/>
          <w:bCs/>
          <w:snapToGrid w:val="0"/>
          <w:color w:val="000000"/>
          <w:kern w:val="0"/>
          <w:sz w:val="24"/>
          <w:szCs w:val="24"/>
          <w:highlight w:val="none"/>
          <w:lang w:val="en-US" w:eastAsia="zh-CN" w:bidi="ar"/>
        </w:rPr>
        <w:t>四、质量保证措施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000000"/>
          <w:kern w:val="0"/>
          <w:sz w:val="24"/>
          <w:szCs w:val="24"/>
          <w:highlight w:val="none"/>
          <w:lang w:val="en-US" w:eastAsia="zh-CN" w:bidi="ar"/>
        </w:rPr>
      </w:pPr>
      <w:r>
        <w:rPr>
          <w:rFonts w:hint="eastAsia" w:ascii="黑体" w:hAnsi="黑体" w:eastAsia="黑体" w:cs="黑体"/>
          <w:snapToGrid w:val="0"/>
          <w:color w:val="000000"/>
          <w:kern w:val="0"/>
          <w:sz w:val="24"/>
          <w:szCs w:val="24"/>
          <w:highlight w:val="none"/>
          <w:lang w:val="en-US" w:eastAsia="zh-CN" w:bidi="ar"/>
        </w:rPr>
        <w:t>1、成交供应商提供的设备产品应是原装正品，具有出厂合格证或国家鉴定合格证，且为该品牌设备的最新型号，出厂日期距交货日期应不超过3个月。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2、提供的设备产品技术数据应与供应商响应文件所列技术数据一致，符合国家有关技术规范和技术标准。如有不符，采购人可退货。</w:t>
      </w:r>
    </w:p>
    <w:p>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sz w:val="24"/>
          <w:szCs w:val="24"/>
          <w:highlight w:val="none"/>
        </w:rPr>
      </w:pPr>
      <w:r>
        <w:rPr>
          <w:rFonts w:hint="eastAsia" w:ascii="黑体" w:hAnsi="黑体" w:eastAsia="黑体" w:cs="黑体"/>
          <w:b/>
          <w:bCs/>
          <w:snapToGrid w:val="0"/>
          <w:color w:val="000000"/>
          <w:kern w:val="0"/>
          <w:sz w:val="24"/>
          <w:szCs w:val="24"/>
          <w:highlight w:val="none"/>
          <w:lang w:val="en-US" w:eastAsia="zh-CN" w:bidi="ar"/>
        </w:rPr>
        <w:t>五、设备运输、安装及调试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1、安装调试前，产品运输、保管责任由成交供应商承担。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000000"/>
          <w:kern w:val="0"/>
          <w:sz w:val="24"/>
          <w:szCs w:val="24"/>
          <w:highlight w:val="none"/>
          <w:lang w:val="en-US" w:eastAsia="zh-CN" w:bidi="ar"/>
        </w:rPr>
      </w:pPr>
      <w:r>
        <w:rPr>
          <w:rFonts w:hint="eastAsia" w:ascii="黑体" w:hAnsi="黑体" w:eastAsia="黑体" w:cs="黑体"/>
          <w:snapToGrid w:val="0"/>
          <w:color w:val="000000"/>
          <w:kern w:val="0"/>
          <w:sz w:val="24"/>
          <w:szCs w:val="24"/>
          <w:highlight w:val="none"/>
          <w:lang w:val="en-US" w:eastAsia="zh-CN" w:bidi="ar"/>
        </w:rPr>
        <w:t>2、安装调试：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（1）成交供应商于合同签订后 1 个星期内开始送达产品并安装调试，可分批供货，30天内全部安装调试完毕。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（2）产品安装调试由成交供应商负责，采购人予以协助。安装调试期间意外风险责任由成交供应商承担。</w:t>
      </w:r>
    </w:p>
    <w:p>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sz w:val="24"/>
          <w:szCs w:val="24"/>
          <w:highlight w:val="none"/>
        </w:rPr>
      </w:pPr>
      <w:r>
        <w:rPr>
          <w:rFonts w:hint="eastAsia" w:ascii="黑体" w:hAnsi="黑体" w:eastAsia="黑体" w:cs="黑体"/>
          <w:b/>
          <w:bCs/>
          <w:snapToGrid w:val="0"/>
          <w:color w:val="000000"/>
          <w:kern w:val="0"/>
          <w:sz w:val="24"/>
          <w:szCs w:val="24"/>
          <w:highlight w:val="none"/>
          <w:lang w:val="en-US" w:eastAsia="zh-CN" w:bidi="ar"/>
        </w:rPr>
        <w:t xml:space="preserve">六、验收及售后服务要求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1、设备到现场后，由成交供应商和采购人共同验收，由于运输过程中引起的数量短缺、货物损环等问题均由成交供应商负责调换处理。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2、验收标准:以本项目磋商文件所列设备数量和技术指标为准。供应商提供的设备须是全新设备，设备无损坏并通过采购人的试运行测试；并提供磋商文件要求的相关产品检测报告。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3、成交供应商须免费提供不少于</w:t>
      </w:r>
      <w:r>
        <w:rPr>
          <w:rFonts w:hint="eastAsia" w:ascii="黑体" w:hAnsi="黑体" w:eastAsia="黑体" w:cs="黑体"/>
          <w:snapToGrid w:val="0"/>
          <w:color w:val="FF0000"/>
          <w:kern w:val="0"/>
          <w:sz w:val="24"/>
          <w:szCs w:val="24"/>
          <w:highlight w:val="none"/>
          <w:lang w:val="en-US" w:eastAsia="zh-CN" w:bidi="ar"/>
        </w:rPr>
        <w:t>100台立柜和8台与</w:t>
      </w:r>
      <w:r>
        <w:rPr>
          <w:rFonts w:hint="eastAsia" w:ascii="黑体" w:hAnsi="黑体" w:eastAsia="黑体" w:cs="黑体"/>
          <w:snapToGrid w:val="0"/>
          <w:color w:val="000000"/>
          <w:kern w:val="0"/>
          <w:sz w:val="24"/>
          <w:szCs w:val="24"/>
          <w:highlight w:val="none"/>
          <w:lang w:val="en-US" w:eastAsia="zh-CN" w:bidi="ar"/>
        </w:rPr>
        <w:t xml:space="preserve">所提供设备同品牌的培训用机，并提供现场技术培训，保证设备设置点使用维护人员熟练掌握功能操作及日常维护保养。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4、售后服务要求: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（1）设备5年免费质保期，期间</w:t>
      </w:r>
      <w:r>
        <w:rPr>
          <w:rFonts w:hint="eastAsia" w:ascii="黑体" w:hAnsi="黑体" w:eastAsia="黑体" w:cs="黑体"/>
          <w:snapToGrid w:val="0"/>
          <w:color w:val="FF0000"/>
          <w:kern w:val="0"/>
          <w:sz w:val="24"/>
          <w:szCs w:val="24"/>
          <w:highlight w:val="none"/>
          <w:lang w:val="en-US" w:eastAsia="zh-CN" w:bidi="ar"/>
        </w:rPr>
        <w:t>每年</w:t>
      </w:r>
      <w:r>
        <w:rPr>
          <w:rFonts w:hint="eastAsia" w:ascii="黑体" w:hAnsi="黑体" w:eastAsia="黑体" w:cs="黑体"/>
          <w:snapToGrid w:val="0"/>
          <w:color w:val="000000"/>
          <w:kern w:val="0"/>
          <w:sz w:val="24"/>
          <w:szCs w:val="24"/>
          <w:highlight w:val="none"/>
          <w:lang w:val="en-US" w:eastAsia="zh-CN" w:bidi="ar"/>
        </w:rPr>
        <w:t xml:space="preserve">维护或巡检一次，全年提供 24 小时免费上门服务及售后技术支持；期间设备质量问题，人为损坏、丢失，24 小时内维修完毕或提供备用机。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（2）5 年免费质保期从验收合格后开始计算。因设计或安装原因而造成的故 障，质保期从故障修复之日起重新开始计算。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（3）成交供应商在5年免费质保期内，免费提供不多于 2 次的设备安装地点变更服务。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 xml:space="preserve">（4）5年免费质保期期结束后的每台年综合维护费标准，作为后续服务签约参考依据。 </w:t>
      </w:r>
    </w:p>
    <w:p>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sz w:val="24"/>
          <w:szCs w:val="24"/>
          <w:highlight w:val="none"/>
        </w:rPr>
      </w:pPr>
      <w:r>
        <w:rPr>
          <w:rFonts w:hint="eastAsia" w:ascii="黑体" w:hAnsi="黑体" w:eastAsia="黑体" w:cs="黑体"/>
          <w:b/>
          <w:bCs/>
          <w:snapToGrid w:val="0"/>
          <w:color w:val="000000"/>
          <w:kern w:val="0"/>
          <w:sz w:val="24"/>
          <w:szCs w:val="24"/>
          <w:highlight w:val="none"/>
          <w:lang w:val="en-US" w:eastAsia="zh-CN" w:bidi="ar"/>
        </w:rPr>
        <w:t xml:space="preserve">七、付款方式 </w:t>
      </w:r>
    </w:p>
    <w:p>
      <w:pPr>
        <w:keepNext w:val="0"/>
        <w:keepLines w:val="0"/>
        <w:pageBreakBefore w:val="0"/>
        <w:widowControl/>
        <w:suppressLineNumbers w:val="0"/>
        <w:wordWrap/>
        <w:overflowPunct/>
        <w:topLinePunct w:val="0"/>
        <w:bidi w:val="0"/>
        <w:spacing w:line="360" w:lineRule="auto"/>
        <w:ind w:firstLine="480" w:firstLineChars="200"/>
        <w:jc w:val="left"/>
        <w:rPr>
          <w:rFonts w:hint="eastAsia" w:ascii="黑体" w:hAnsi="黑体" w:eastAsia="黑体" w:cs="黑体"/>
          <w:sz w:val="24"/>
          <w:szCs w:val="24"/>
          <w:highlight w:val="none"/>
        </w:rPr>
      </w:pPr>
      <w:r>
        <w:rPr>
          <w:rFonts w:hint="eastAsia" w:ascii="黑体" w:hAnsi="黑体" w:eastAsia="黑体" w:cs="黑体"/>
          <w:snapToGrid w:val="0"/>
          <w:color w:val="000000"/>
          <w:kern w:val="0"/>
          <w:sz w:val="24"/>
          <w:szCs w:val="24"/>
          <w:highlight w:val="none"/>
          <w:lang w:val="en-US" w:eastAsia="zh-CN" w:bidi="ar"/>
        </w:rPr>
        <w:t>采购人与中标（成交）供应商签订合同时自行约定。</w:t>
      </w:r>
    </w:p>
    <w:p>
      <w:pPr>
        <w:keepNext w:val="0"/>
        <w:keepLines w:val="0"/>
        <w:pageBreakBefore w:val="0"/>
        <w:widowControl/>
        <w:suppressLineNumbers w:val="0"/>
        <w:wordWrap/>
        <w:overflowPunct/>
        <w:topLinePunct w:val="0"/>
        <w:bidi w:val="0"/>
        <w:spacing w:line="360" w:lineRule="auto"/>
        <w:ind w:firstLine="480" w:firstLineChars="200"/>
        <w:jc w:val="left"/>
        <w:rPr>
          <w:rFonts w:hint="eastAsia" w:ascii="黑体" w:hAnsi="黑体" w:eastAsia="黑体" w:cs="黑体"/>
          <w:color w:val="auto"/>
          <w:sz w:val="24"/>
          <w:szCs w:val="24"/>
          <w:highlight w:val="none"/>
        </w:rPr>
      </w:pPr>
    </w:p>
    <w:p>
      <w:pPr>
        <w:numPr>
          <w:ilvl w:val="0"/>
          <w:numId w:val="0"/>
        </w:numPr>
        <w:rPr>
          <w:rFonts w:hint="eastAsia"/>
          <w:color w:val="auto"/>
          <w:highlight w:val="none"/>
          <w:lang w:val="en-US" w:eastAsia="zh-CN"/>
        </w:rPr>
      </w:pPr>
      <w:r>
        <w:rPr>
          <w:rFonts w:hint="eastAsia"/>
          <w:color w:val="auto"/>
          <w:highlight w:val="none"/>
          <w:lang w:val="en-US" w:eastAsia="zh-CN"/>
        </w:rPr>
        <w:br w:type="page"/>
      </w:r>
    </w:p>
    <w:p>
      <w:pPr>
        <w:numPr>
          <w:ilvl w:val="0"/>
          <w:numId w:val="1"/>
        </w:numPr>
        <w:spacing w:before="206" w:line="219" w:lineRule="auto"/>
        <w:ind w:left="2905" w:leftChars="0" w:firstLine="0" w:firstLineChars="0"/>
        <w:outlineLvl w:val="0"/>
        <w:rPr>
          <w:rFonts w:hint="eastAsia" w:ascii="黑体" w:hAnsi="黑体" w:eastAsia="黑体" w:cs="黑体"/>
          <w:b/>
          <w:bCs/>
          <w:color w:val="auto"/>
          <w:spacing w:val="-6"/>
          <w:sz w:val="28"/>
          <w:szCs w:val="28"/>
          <w:highlight w:val="none"/>
        </w:rPr>
      </w:pPr>
      <w:r>
        <w:rPr>
          <w:rFonts w:hint="eastAsia" w:ascii="黑体" w:hAnsi="黑体" w:eastAsia="黑体" w:cs="黑体"/>
          <w:b/>
          <w:bCs/>
          <w:color w:val="auto"/>
          <w:spacing w:val="-6"/>
          <w:sz w:val="28"/>
          <w:szCs w:val="28"/>
          <w:highlight w:val="none"/>
          <w:lang w:val="en-US" w:eastAsia="zh-CN"/>
        </w:rPr>
        <w:t>供应商资格审查</w:t>
      </w:r>
      <w:r>
        <w:rPr>
          <w:rFonts w:hint="eastAsia" w:ascii="黑体" w:hAnsi="黑体" w:eastAsia="黑体" w:cs="黑体"/>
          <w:b/>
          <w:bCs/>
          <w:color w:val="auto"/>
          <w:spacing w:val="-6"/>
          <w:sz w:val="28"/>
          <w:szCs w:val="28"/>
          <w:highlight w:val="none"/>
        </w:rPr>
        <w:t>标准</w:t>
      </w:r>
    </w:p>
    <w:p>
      <w:pPr>
        <w:spacing w:line="500" w:lineRule="exact"/>
        <w:ind w:firstLine="480" w:firstLineChars="200"/>
        <w:rPr>
          <w:rFonts w:hint="eastAsia" w:ascii="黑体" w:hAnsi="黑体" w:eastAsia="黑体" w:cs="黑体"/>
          <w:color w:val="auto"/>
          <w:sz w:val="24"/>
          <w:highlight w:val="none"/>
          <w:shd w:val="clear" w:color="auto" w:fill="FFFFFF"/>
        </w:rPr>
      </w:pPr>
      <w:r>
        <w:rPr>
          <w:rFonts w:hint="eastAsia" w:ascii="黑体" w:hAnsi="黑体" w:eastAsia="黑体" w:cs="黑体"/>
          <w:color w:val="auto"/>
          <w:sz w:val="24"/>
          <w:highlight w:val="none"/>
          <w:shd w:val="clear" w:color="auto" w:fill="FFFFFF"/>
        </w:rPr>
        <w:t>根据《政府采购法》、《政府采购法实施条例》、《政府采购货物和服务招标投标管理办法》、《政府采购非招标采购方式管理办法》等相关法律法规确定以下资格审查标准及评审方法。</w:t>
      </w:r>
    </w:p>
    <w:p>
      <w:pPr>
        <w:widowControl/>
        <w:spacing w:line="50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一、评审标准</w:t>
      </w:r>
    </w:p>
    <w:tbl>
      <w:tblPr>
        <w:tblStyle w:val="9"/>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52"/>
        <w:gridCol w:w="2942"/>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3"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D8D8D8"/>
            <w:vAlign w:val="center"/>
          </w:tcPr>
          <w:p>
            <w:pPr>
              <w:pStyle w:val="15"/>
              <w:jc w:val="center"/>
              <w:rPr>
                <w:rFonts w:hint="eastAsia" w:ascii="黑体" w:hAnsi="黑体" w:eastAsia="黑体" w:cs="黑体"/>
                <w:b/>
                <w:color w:val="auto"/>
                <w:sz w:val="24"/>
                <w:highlight w:val="none"/>
              </w:rPr>
            </w:pPr>
            <w:bookmarkStart w:id="8" w:name="_Hlk161711060"/>
            <w:r>
              <w:rPr>
                <w:rFonts w:hint="eastAsia" w:ascii="黑体" w:hAnsi="黑体" w:eastAsia="黑体" w:cs="黑体"/>
                <w:b/>
                <w:color w:val="auto"/>
                <w:highlight w:val="none"/>
              </w:rPr>
              <w:t>序号</w:t>
            </w:r>
          </w:p>
        </w:tc>
        <w:tc>
          <w:tcPr>
            <w:tcW w:w="1744" w:type="pct"/>
            <w:tcBorders>
              <w:top w:val="single" w:color="auto" w:sz="4" w:space="0"/>
              <w:left w:val="single" w:color="auto" w:sz="4" w:space="0"/>
              <w:bottom w:val="single" w:color="auto" w:sz="4" w:space="0"/>
              <w:right w:val="single" w:color="auto" w:sz="4" w:space="0"/>
            </w:tcBorders>
            <w:shd w:val="clear" w:color="auto" w:fill="D8D8D8"/>
            <w:vAlign w:val="center"/>
          </w:tcPr>
          <w:p>
            <w:pPr>
              <w:pStyle w:val="15"/>
              <w:jc w:val="center"/>
              <w:rPr>
                <w:rFonts w:hint="eastAsia" w:ascii="黑体" w:hAnsi="黑体" w:eastAsia="黑体" w:cs="黑体"/>
                <w:b/>
                <w:color w:val="auto"/>
                <w:highlight w:val="none"/>
              </w:rPr>
            </w:pPr>
            <w:r>
              <w:rPr>
                <w:rFonts w:hint="eastAsia" w:ascii="黑体" w:hAnsi="黑体" w:eastAsia="黑体" w:cs="黑体"/>
                <w:b/>
                <w:color w:val="auto"/>
                <w:highlight w:val="none"/>
              </w:rPr>
              <w:t>资格要求</w:t>
            </w:r>
          </w:p>
        </w:tc>
        <w:tc>
          <w:tcPr>
            <w:tcW w:w="2749" w:type="pct"/>
            <w:tcBorders>
              <w:top w:val="single" w:color="auto" w:sz="4" w:space="0"/>
              <w:left w:val="single" w:color="auto" w:sz="4" w:space="0"/>
              <w:bottom w:val="single" w:color="auto" w:sz="4" w:space="0"/>
              <w:right w:val="single" w:color="auto" w:sz="4" w:space="0"/>
            </w:tcBorders>
            <w:shd w:val="clear" w:color="auto" w:fill="D8D8D8"/>
            <w:vAlign w:val="center"/>
          </w:tcPr>
          <w:p>
            <w:pPr>
              <w:pStyle w:val="15"/>
              <w:jc w:val="center"/>
              <w:rPr>
                <w:rFonts w:hint="eastAsia" w:ascii="黑体" w:hAnsi="黑体" w:eastAsia="黑体" w:cs="黑体"/>
                <w:b/>
                <w:color w:val="auto"/>
                <w:highlight w:val="none"/>
              </w:rPr>
            </w:pPr>
            <w:r>
              <w:rPr>
                <w:rFonts w:hint="eastAsia" w:ascii="黑体" w:hAnsi="黑体" w:eastAsia="黑体" w:cs="黑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5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2"/>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具有独立承担民事责任的能力</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提供</w:t>
            </w:r>
            <w:r>
              <w:rPr>
                <w:rFonts w:hint="eastAsia" w:ascii="黑体" w:hAnsi="黑体" w:eastAsia="黑体" w:cs="黑体"/>
                <w:color w:val="auto"/>
                <w:highlight w:val="none"/>
              </w:rPr>
              <w:t>法人或者其他组织的营业执照等证明文件，自然人的身份证明</w:t>
            </w:r>
            <w:r>
              <w:rPr>
                <w:rFonts w:hint="eastAsia" w:ascii="黑体" w:hAnsi="黑体" w:eastAsia="黑体" w:cs="黑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具有良好的商业信誉和健全的财务会计制度</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具有履行合同所必需的设备和专业技术能力</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有依法缴纳税收和社会保障资金的良好记录</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21"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参加政府采购活动前三年内，在经营活动中没有重大违法记录</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法律、行政法规规定的其他条件</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37"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2"/>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未被“信用中国”网站列入失信被执行人名单、重大税收违法失信主体名单、政府采购严重违法失信行为记录名单</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提供网上查询截图</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以响应文件递交截止日在“信用中国”网站（www.creditchina.gov.cn）查询的</w:t>
            </w:r>
            <w:r>
              <w:rPr>
                <w:rFonts w:hint="eastAsia" w:ascii="黑体" w:hAnsi="黑体" w:eastAsia="黑体" w:cs="黑体"/>
                <w:color w:val="auto"/>
                <w:highlight w:val="none"/>
                <w:lang w:val="en-US" w:eastAsia="zh-CN"/>
              </w:rPr>
              <w:t>“列入失信被执行人名单、重大税收违法失信主体名单、政府采购严重违法失信行为记录名单”</w:t>
            </w:r>
            <w:r>
              <w:rPr>
                <w:rFonts w:hint="eastAsia" w:ascii="黑体" w:hAnsi="黑体" w:eastAsia="黑体" w:cs="黑体"/>
                <w:color w:val="auto"/>
                <w:highlight w:val="none"/>
              </w:rPr>
              <w:t>（供应商自行查询并提供截图，未提供的或现场查询已被列入以上名单的其投标无效）。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37"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2"/>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rPr>
              <w:t>单位负责人为同一人或者存在直接控股、管理关系的不同供应商，不得参加本项目同一合同项下的政府采购活动</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bl>
    <w:p>
      <w:pPr>
        <w:pStyle w:val="15"/>
        <w:jc w:val="center"/>
        <w:rPr>
          <w:rFonts w:hint="eastAsia" w:ascii="黑体" w:hAnsi="黑体" w:eastAsia="黑体" w:cs="黑体"/>
          <w:color w:val="auto"/>
          <w:highlight w:val="none"/>
        </w:rPr>
        <w:sectPr>
          <w:footerReference r:id="rId7" w:type="default"/>
          <w:pgSz w:w="11907" w:h="16841"/>
          <w:pgMar w:top="1303" w:right="1417" w:bottom="1305" w:left="1417" w:header="950" w:footer="1140" w:gutter="0"/>
          <w:pgNumType w:fmt="decimal"/>
          <w:cols w:space="720" w:num="1"/>
        </w:sectPr>
      </w:pPr>
    </w:p>
    <w:tbl>
      <w:tblPr>
        <w:tblStyle w:val="9"/>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52"/>
        <w:gridCol w:w="2942"/>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37"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2"/>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为本采购项目提供整体设计、规范编制或者项目管理、监理、检测等服务的，不得再参加本项目的其他招标采购活动</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10"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2"/>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本项目的特定资格要求</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（1）</w:t>
            </w:r>
            <w:r>
              <w:rPr>
                <w:rFonts w:hint="eastAsia" w:ascii="黑体" w:hAnsi="黑体" w:eastAsia="黑体" w:cs="黑体"/>
                <w:color w:val="auto"/>
                <w:highlight w:val="none"/>
                <w:lang w:val="en-US" w:eastAsia="zh-CN"/>
              </w:rPr>
              <w:t>供应商须具有</w:t>
            </w:r>
            <w:r>
              <w:rPr>
                <w:rFonts w:hint="eastAsia" w:ascii="黑体" w:hAnsi="黑体" w:eastAsia="黑体" w:cs="黑体"/>
                <w:color w:val="auto"/>
                <w:highlight w:val="none"/>
                <w:lang w:eastAsia="zh-CN"/>
              </w:rPr>
              <w:t>《医疗器械经营许可证》</w:t>
            </w:r>
            <w:r>
              <w:rPr>
                <w:rFonts w:hint="eastAsia" w:ascii="黑体" w:hAnsi="黑体" w:eastAsia="黑体" w:cs="黑体"/>
                <w:color w:val="auto"/>
                <w:highlight w:val="none"/>
                <w:lang w:val="en-US" w:eastAsia="zh-CN"/>
              </w:rPr>
              <w:t>或《医疗器械生产许可证》，</w:t>
            </w:r>
            <w:r>
              <w:rPr>
                <w:rFonts w:hint="eastAsia" w:ascii="黑体" w:hAnsi="黑体" w:eastAsia="黑体" w:cs="黑体"/>
                <w:color w:val="auto"/>
                <w:highlight w:val="none"/>
                <w:lang w:eastAsia="zh-CN"/>
              </w:rPr>
              <w:t>和</w:t>
            </w:r>
            <w:r>
              <w:rPr>
                <w:rFonts w:hint="eastAsia" w:ascii="黑体" w:hAnsi="黑体" w:eastAsia="黑体" w:cs="黑体"/>
                <w:color w:val="auto"/>
                <w:highlight w:val="none"/>
                <w:lang w:val="en-US" w:eastAsia="zh-CN"/>
              </w:rPr>
              <w:t>所提供</w:t>
            </w:r>
            <w:r>
              <w:rPr>
                <w:rFonts w:hint="eastAsia" w:ascii="黑体" w:hAnsi="黑体" w:eastAsia="黑体" w:cs="黑体"/>
                <w:color w:val="auto"/>
                <w:highlight w:val="none"/>
                <w:lang w:eastAsia="zh-CN"/>
              </w:rPr>
              <w:t>产品的《医疗器械注册证》；</w:t>
            </w:r>
          </w:p>
          <w:p>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（2）所提供设备的制造商或授权代理商，制造商只能授权一个代理商参加本项目的磋商采购活动，制造商和代理商不得同时参加本项目的磋商采购活动。</w:t>
            </w:r>
          </w:p>
        </w:tc>
      </w:tr>
      <w:bookmarkEnd w:id="8"/>
    </w:tbl>
    <w:p>
      <w:pPr>
        <w:widowControl/>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小组从质量和服务均能满足采购文件实质性要求的供应商中，按照</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由</w:t>
      </w:r>
      <w:r>
        <w:rPr>
          <w:rFonts w:hint="eastAsia" w:ascii="黑体" w:hAnsi="黑体" w:eastAsia="黑体" w:cs="黑体"/>
          <w:color w:val="auto"/>
          <w:sz w:val="24"/>
          <w:highlight w:val="none"/>
          <w:lang w:val="en-US" w:eastAsia="zh-CN"/>
        </w:rPr>
        <w:t>高到低</w:t>
      </w:r>
      <w:r>
        <w:rPr>
          <w:rFonts w:hint="eastAsia" w:ascii="黑体" w:hAnsi="黑体" w:eastAsia="黑体" w:cs="黑体"/>
          <w:color w:val="auto"/>
          <w:sz w:val="24"/>
          <w:highlight w:val="none"/>
        </w:rPr>
        <w:t>的顺序提出3名以上成交候选人，也可按事先授权直接确定成交供应商并编写评审报告。当出现两个及以上相同最</w:t>
      </w:r>
      <w:r>
        <w:rPr>
          <w:rFonts w:hint="eastAsia" w:ascii="黑体" w:hAnsi="黑体" w:eastAsia="黑体" w:cs="黑体"/>
          <w:color w:val="auto"/>
          <w:sz w:val="24"/>
          <w:highlight w:val="none"/>
          <w:lang w:val="en-US" w:eastAsia="zh-CN"/>
        </w:rPr>
        <w:t>高评分</w:t>
      </w:r>
      <w:r>
        <w:rPr>
          <w:rFonts w:hint="eastAsia" w:ascii="黑体" w:hAnsi="黑体" w:eastAsia="黑体" w:cs="黑体"/>
          <w:color w:val="auto"/>
          <w:sz w:val="24"/>
          <w:highlight w:val="none"/>
        </w:rPr>
        <w:t>时，</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小组按照最终报价由低到高确定评审结果排序；</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相同，且最终报价也相同的，</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小组按技术优劣或投票确定评审结果排序。面向小微企业项目，按</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由</w:t>
      </w:r>
      <w:r>
        <w:rPr>
          <w:rFonts w:hint="eastAsia" w:ascii="黑体" w:hAnsi="黑体" w:eastAsia="黑体" w:cs="黑体"/>
          <w:color w:val="auto"/>
          <w:sz w:val="24"/>
          <w:highlight w:val="none"/>
          <w:lang w:val="en-US" w:eastAsia="zh-CN"/>
        </w:rPr>
        <w:t>高到低</w:t>
      </w:r>
      <w:r>
        <w:rPr>
          <w:rFonts w:hint="eastAsia" w:ascii="黑体" w:hAnsi="黑体" w:eastAsia="黑体" w:cs="黑体"/>
          <w:color w:val="auto"/>
          <w:sz w:val="24"/>
          <w:highlight w:val="none"/>
        </w:rPr>
        <w:t>确定评审结果排序。</w:t>
      </w:r>
    </w:p>
    <w:p>
      <w:pPr>
        <w:widowControl/>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2、采购人从</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小组提出的成交候选人中根据符合采购需求、质量和服务相等且</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最</w:t>
      </w:r>
      <w:r>
        <w:rPr>
          <w:rFonts w:hint="eastAsia" w:ascii="黑体" w:hAnsi="黑体" w:eastAsia="黑体" w:cs="黑体"/>
          <w:color w:val="auto"/>
          <w:sz w:val="24"/>
          <w:highlight w:val="none"/>
          <w:lang w:val="en-US" w:eastAsia="zh-CN"/>
        </w:rPr>
        <w:t>高</w:t>
      </w:r>
      <w:r>
        <w:rPr>
          <w:rFonts w:hint="eastAsia" w:ascii="黑体" w:hAnsi="黑体" w:eastAsia="黑体" w:cs="黑体"/>
          <w:color w:val="auto"/>
          <w:sz w:val="24"/>
          <w:highlight w:val="none"/>
        </w:rPr>
        <w:t>的原则确定成交供应商。</w:t>
      </w:r>
    </w:p>
    <w:p>
      <w:pPr>
        <w:widowControl/>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3、成交候选供应商因特殊原因放弃或因不可抗力提出不能履行合同，才可依据</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小组评审结果次序依次递补。</w:t>
      </w:r>
    </w:p>
    <w:p>
      <w:pPr>
        <w:pStyle w:val="2"/>
        <w:jc w:val="center"/>
        <w:rPr>
          <w:rFonts w:hint="eastAsia" w:ascii="黑体" w:hAnsi="黑体" w:eastAsia="黑体" w:cs="黑体"/>
          <w:color w:val="auto"/>
          <w:highlight w:val="none"/>
          <w:shd w:val="clear" w:color="auto" w:fill="FFFFFF"/>
        </w:rPr>
        <w:sectPr>
          <w:footerReference r:id="rId8" w:type="default"/>
          <w:pgSz w:w="11907" w:h="16841"/>
          <w:pgMar w:top="1303" w:right="1417" w:bottom="1305" w:left="1417" w:header="950" w:footer="1140" w:gutter="0"/>
          <w:pgNumType w:fmt="decimal"/>
          <w:cols w:space="720" w:num="1"/>
        </w:sectPr>
      </w:pPr>
    </w:p>
    <w:p>
      <w:pPr>
        <w:pStyle w:val="2"/>
        <w:jc w:val="center"/>
        <w:rPr>
          <w:rFonts w:hint="eastAsia" w:ascii="黑体" w:hAnsi="黑体" w:eastAsia="黑体" w:cs="黑体"/>
          <w:color w:val="auto"/>
          <w:highlight w:val="none"/>
          <w:shd w:val="clear" w:color="auto" w:fill="FFFFFF"/>
        </w:rPr>
      </w:pPr>
      <w:r>
        <w:rPr>
          <w:rFonts w:hint="eastAsia" w:ascii="黑体" w:hAnsi="黑体" w:eastAsia="黑体" w:cs="黑体"/>
          <w:color w:val="auto"/>
          <w:highlight w:val="none"/>
          <w:shd w:val="clear" w:color="auto" w:fill="FFFFFF"/>
        </w:rPr>
        <w:t>供应商报名表</w:t>
      </w:r>
    </w:p>
    <w:p>
      <w:pPr>
        <w:spacing w:before="120" w:beforeLines="50" w:after="120" w:afterLines="50"/>
        <w:rPr>
          <w:rFonts w:hint="eastAsia" w:ascii="黑体" w:hAnsi="黑体" w:eastAsia="黑体" w:cs="黑体"/>
          <w:color w:val="auto"/>
          <w:sz w:val="24"/>
          <w:highlight w:val="none"/>
          <w:lang w:val="en-US" w:eastAsia="zh-CN"/>
        </w:rPr>
      </w:pPr>
      <w:r>
        <w:rPr>
          <w:rFonts w:hint="eastAsia" w:ascii="黑体" w:hAnsi="黑体" w:eastAsia="黑体" w:cs="黑体"/>
          <w:color w:val="auto"/>
          <w:sz w:val="22"/>
          <w:szCs w:val="22"/>
          <w:highlight w:val="none"/>
        </w:rPr>
        <w:t>项</w:t>
      </w:r>
      <w:r>
        <w:rPr>
          <w:rFonts w:hint="eastAsia" w:ascii="黑体" w:hAnsi="黑体" w:eastAsia="黑体" w:cs="黑体"/>
          <w:color w:val="auto"/>
          <w:sz w:val="24"/>
          <w:highlight w:val="none"/>
        </w:rPr>
        <w:t>目编号：</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lang w:eastAsia="zh-CN"/>
        </w:rPr>
        <w:t>HXCT-2024-00</w:t>
      </w:r>
      <w:r>
        <w:rPr>
          <w:rFonts w:hint="eastAsia" w:ascii="黑体" w:hAnsi="黑体" w:eastAsia="黑体" w:cs="黑体"/>
          <w:color w:val="auto"/>
          <w:sz w:val="24"/>
          <w:highlight w:val="none"/>
          <w:u w:val="single"/>
          <w:lang w:val="en-US" w:eastAsia="zh-CN"/>
        </w:rPr>
        <w:t xml:space="preserve">9                                 </w:t>
      </w:r>
    </w:p>
    <w:p>
      <w:pPr>
        <w:spacing w:after="240" w:afterLines="100"/>
        <w:rPr>
          <w:rFonts w:hint="eastAsia" w:ascii="黑体" w:hAnsi="黑体" w:eastAsia="黑体" w:cs="黑体"/>
          <w:color w:val="auto"/>
          <w:kern w:val="0"/>
          <w:sz w:val="24"/>
          <w:highlight w:val="none"/>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lang w:val="zh-CN"/>
        </w:rPr>
        <w:t xml:space="preserve">  黄石市红十字会自动体外除颤仪（AED）采购项目</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lang w:val="zh-CN"/>
        </w:rPr>
        <w:t xml:space="preserve">    </w:t>
      </w:r>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 xml:space="preserve">供应商名称 </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黑体" w:hAnsi="黑体" w:eastAsia="黑体" w:cs="黑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联系人姓名</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黑体" w:hAnsi="黑体" w:eastAsia="黑体" w:cs="黑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联系人电话</w:t>
            </w:r>
          </w:p>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（办公电话和手机）</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黑体" w:hAnsi="黑体" w:eastAsia="黑体" w:cs="黑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联系人邮箱</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黑体" w:hAnsi="黑体" w:eastAsia="黑体" w:cs="黑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2569"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供应商提供的</w:t>
            </w:r>
          </w:p>
          <w:p>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报名资料</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hd w:val="clear" w:color="auto" w:fill="FFFFFF"/>
              <w:spacing w:beforeAutospacing="0" w:afterAutospacing="0" w:line="360" w:lineRule="auto"/>
              <w:jc w:val="both"/>
              <w:rPr>
                <w:rFonts w:hint="eastAsia" w:ascii="黑体" w:hAnsi="黑体" w:eastAsia="黑体" w:cs="黑体"/>
                <w:color w:val="auto"/>
                <w:highlight w:val="none"/>
              </w:rPr>
            </w:pPr>
            <w:r>
              <w:rPr>
                <w:rFonts w:hint="eastAsia" w:ascii="黑体" w:hAnsi="黑体" w:eastAsia="黑体" w:cs="黑体"/>
                <w:color w:val="auto"/>
                <w:highlight w:val="none"/>
              </w:rPr>
              <w:t>此报名表置于报名资料首页，按顺序逐一提供，便于专家评审。</w:t>
            </w:r>
          </w:p>
        </w:tc>
      </w:tr>
    </w:tbl>
    <w:p>
      <w:pPr>
        <w:rPr>
          <w:rFonts w:hint="eastAsia"/>
          <w:color w:val="auto"/>
          <w:highlight w:val="none"/>
        </w:rPr>
      </w:pPr>
    </w:p>
    <w:p>
      <w:pPr>
        <w:pStyle w:val="8"/>
        <w:numPr>
          <w:ilvl w:val="0"/>
          <w:numId w:val="0"/>
        </w:numPr>
        <w:rPr>
          <w:rFonts w:hint="eastAsia"/>
          <w:color w:val="auto"/>
          <w:highlight w:val="none"/>
        </w:rPr>
      </w:pPr>
    </w:p>
    <w:p>
      <w:pPr>
        <w:spacing w:line="378" w:lineRule="auto"/>
        <w:rPr>
          <w:rFonts w:hint="eastAsia" w:ascii="黑体" w:hAnsi="黑体" w:eastAsia="黑体" w:cs="黑体"/>
          <w:color w:val="auto"/>
          <w:sz w:val="24"/>
          <w:szCs w:val="24"/>
          <w:highlight w:val="none"/>
        </w:rPr>
      </w:pPr>
    </w:p>
    <w:p>
      <w:pPr>
        <w:pStyle w:val="8"/>
        <w:rPr>
          <w:rFonts w:hint="eastAsia"/>
          <w:color w:val="auto"/>
          <w:highlight w:val="none"/>
        </w:rPr>
        <w:sectPr>
          <w:footerReference r:id="rId9" w:type="default"/>
          <w:pgSz w:w="11907" w:h="16841"/>
          <w:pgMar w:top="1303" w:right="1417" w:bottom="1305" w:left="1417" w:header="950" w:footer="1140" w:gutter="0"/>
          <w:pgNumType w:fmt="decimal"/>
          <w:cols w:space="720" w:num="1"/>
        </w:sectPr>
      </w:pPr>
    </w:p>
    <w:p>
      <w:pPr>
        <w:jc w:val="center"/>
        <w:rPr>
          <w:rFonts w:hint="eastAsia" w:ascii="黑体" w:hAnsi="黑体" w:eastAsia="黑体" w:cs="黑体"/>
          <w:b/>
          <w:color w:val="auto"/>
          <w:kern w:val="2"/>
          <w:sz w:val="32"/>
          <w:szCs w:val="32"/>
          <w:highlight w:val="none"/>
          <w:shd w:val="clear" w:color="auto" w:fill="FFFFFF"/>
          <w:lang w:val="en-US" w:eastAsia="zh-CN" w:bidi="ar-SA"/>
        </w:rPr>
      </w:pPr>
      <w:r>
        <w:rPr>
          <w:rFonts w:hint="eastAsia" w:ascii="黑体" w:hAnsi="黑体" w:eastAsia="黑体" w:cs="黑体"/>
          <w:b/>
          <w:color w:val="auto"/>
          <w:kern w:val="2"/>
          <w:sz w:val="32"/>
          <w:szCs w:val="32"/>
          <w:highlight w:val="none"/>
          <w:shd w:val="clear" w:color="auto" w:fill="FFFFFF"/>
          <w:lang w:val="en-US" w:eastAsia="zh-CN" w:bidi="ar-SA"/>
        </w:rPr>
        <w:t>第四章 附件格式</w:t>
      </w:r>
    </w:p>
    <w:p>
      <w:pPr>
        <w:widowControl/>
        <w:overflowPunct w:val="0"/>
        <w:jc w:val="left"/>
        <w:rPr>
          <w:rFonts w:hint="eastAsia" w:ascii="黑体" w:hAnsi="黑体" w:eastAsia="黑体" w:cs="黑体"/>
          <w:b/>
          <w:color w:val="auto"/>
          <w:sz w:val="32"/>
          <w:szCs w:val="32"/>
          <w:highlight w:val="none"/>
          <w:lang w:val="en-US" w:eastAsia="zh-CN"/>
        </w:rPr>
      </w:pPr>
      <w:bookmarkStart w:id="9" w:name="_Toc156490362"/>
      <w:bookmarkStart w:id="10" w:name="_Toc163493654"/>
      <w:r>
        <w:rPr>
          <w:rFonts w:hint="eastAsia" w:ascii="黑体" w:hAnsi="黑体" w:eastAsia="黑体" w:cs="黑体"/>
          <w:b/>
          <w:color w:val="auto"/>
          <w:sz w:val="32"/>
          <w:szCs w:val="32"/>
          <w:highlight w:val="none"/>
          <w:lang w:val="en-US" w:eastAsia="zh-CN"/>
        </w:rPr>
        <w:t xml:space="preserve">附件一 </w:t>
      </w:r>
    </w:p>
    <w:p>
      <w:pPr>
        <w:pStyle w:val="3"/>
        <w:numPr>
          <w:ilvl w:val="0"/>
          <w:numId w:val="3"/>
        </w:numPr>
        <w:jc w:val="center"/>
        <w:rPr>
          <w:rFonts w:hint="eastAsia" w:ascii="黑体" w:hAnsi="黑体" w:eastAsia="黑体" w:cs="黑体"/>
          <w:b/>
          <w:color w:val="auto"/>
          <w:sz w:val="24"/>
          <w:szCs w:val="24"/>
          <w:highlight w:val="none"/>
        </w:rPr>
      </w:pPr>
      <w:bookmarkStart w:id="11" w:name="_Toc163493645"/>
      <w:r>
        <w:rPr>
          <w:rFonts w:hint="eastAsia" w:ascii="黑体" w:hAnsi="黑体" w:eastAsia="黑体" w:cs="黑体"/>
          <w:b/>
          <w:color w:val="auto"/>
          <w:sz w:val="24"/>
          <w:szCs w:val="24"/>
          <w:highlight w:val="none"/>
        </w:rPr>
        <w:t>法定代表人（负责人）身份证明</w:t>
      </w:r>
      <w:bookmarkEnd w:id="11"/>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单位性质：</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成立时间：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经营期限：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性别：</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年龄：</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职务：</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系</w:t>
      </w:r>
      <w:r>
        <w:rPr>
          <w:rFonts w:hint="eastAsia" w:ascii="黑体" w:hAnsi="黑体" w:eastAsia="黑体" w:cs="黑体"/>
          <w:color w:val="auto"/>
          <w:sz w:val="24"/>
          <w:szCs w:val="24"/>
          <w:highlight w:val="none"/>
          <w:u w:val="single"/>
        </w:rPr>
        <w:t xml:space="preserve">      （供应商名称）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的法定代表人（负责人）。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特此证明。</w:t>
      </w:r>
    </w:p>
    <w:p>
      <w:pPr>
        <w:spacing w:line="360" w:lineRule="auto"/>
        <w:ind w:firstLine="480" w:firstLineChars="200"/>
        <w:rPr>
          <w:rFonts w:hint="eastAsia" w:ascii="黑体" w:hAnsi="黑体" w:eastAsia="黑体" w:cs="黑体"/>
          <w:color w:val="auto"/>
          <w:sz w:val="24"/>
          <w:szCs w:val="24"/>
          <w:highlight w:val="none"/>
        </w:rPr>
      </w:pPr>
    </w:p>
    <w:p>
      <w:pPr>
        <w:widowControl/>
        <w:spacing w:line="360" w:lineRule="auto"/>
        <w:rPr>
          <w:rFonts w:hint="eastAsia" w:ascii="黑体" w:hAnsi="黑体" w:eastAsia="黑体" w:cs="黑体"/>
          <w:color w:val="auto"/>
          <w:sz w:val="24"/>
          <w:szCs w:val="24"/>
          <w:highlight w:val="none"/>
        </w:rPr>
      </w:pP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（盖章）</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   年  月  日</w:t>
      </w:r>
    </w:p>
    <w:p>
      <w:pPr>
        <w:rPr>
          <w:rFonts w:hint="eastAsia" w:ascii="黑体" w:hAnsi="黑体" w:eastAsia="黑体" w:cs="黑体"/>
          <w:color w:val="auto"/>
          <w:sz w:val="24"/>
          <w:szCs w:val="24"/>
          <w:highlight w:val="none"/>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shd w:val="clear" w:color="auto" w:fill="auto"/>
          </w:tcPr>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附：法定代表人（负责人）身份证复印件</w:t>
            </w:r>
          </w:p>
        </w:tc>
      </w:tr>
    </w:tbl>
    <w:p>
      <w:pPr>
        <w:pStyle w:val="3"/>
        <w:numPr>
          <w:ilvl w:val="0"/>
          <w:numId w:val="3"/>
        </w:numPr>
        <w:jc w:val="center"/>
        <w:rPr>
          <w:rFonts w:hint="eastAsia" w:ascii="黑体" w:hAnsi="黑体" w:eastAsia="黑体" w:cs="黑体"/>
          <w:b/>
          <w:color w:val="auto"/>
          <w:sz w:val="24"/>
          <w:szCs w:val="24"/>
          <w:highlight w:val="none"/>
        </w:rPr>
        <w:sectPr>
          <w:headerReference r:id="rId10" w:type="default"/>
          <w:footerReference r:id="rId11" w:type="default"/>
          <w:pgSz w:w="11907" w:h="16841"/>
          <w:pgMar w:top="1304" w:right="1417" w:bottom="1304" w:left="1417" w:header="950" w:footer="1140" w:gutter="0"/>
          <w:pgNumType w:fmt="decimal"/>
          <w:cols w:space="720" w:num="1"/>
        </w:sectPr>
      </w:pPr>
      <w:bookmarkStart w:id="12" w:name="_Toc163493646"/>
    </w:p>
    <w:p>
      <w:pPr>
        <w:pStyle w:val="3"/>
        <w:numPr>
          <w:ilvl w:val="0"/>
          <w:numId w:val="3"/>
        </w:numPr>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法定代表人（负责人）授权书</w:t>
      </w:r>
      <w:bookmarkEnd w:id="12"/>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（供应商名称）的法定代表人（负责人），现委托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（姓名）为我方代理人。代理人根据授权，以我方名义签署、澄清、说明、补正、提交、撤回、修改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（项目名称）响应文件、签订合同和处理有关事宜，其法律后果由我方承担。</w:t>
      </w:r>
    </w:p>
    <w:p>
      <w:pPr>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委托期限：</w:t>
      </w:r>
      <w:r>
        <w:rPr>
          <w:rFonts w:hint="eastAsia" w:ascii="黑体" w:hAnsi="黑体" w:eastAsia="黑体" w:cs="黑体"/>
          <w:color w:val="auto"/>
          <w:sz w:val="24"/>
          <w:szCs w:val="24"/>
          <w:highlight w:val="none"/>
          <w:u w:val="singl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代理人无转委托权。</w:t>
      </w:r>
    </w:p>
    <w:p>
      <w:pPr>
        <w:spacing w:line="360" w:lineRule="auto"/>
        <w:ind w:firstLine="480" w:firstLineChars="200"/>
        <w:rPr>
          <w:rFonts w:hint="eastAsia" w:ascii="黑体" w:hAnsi="黑体" w:eastAsia="黑体" w:cs="黑体"/>
          <w:color w:val="auto"/>
          <w:sz w:val="24"/>
          <w:szCs w:val="24"/>
          <w:highlight w:val="none"/>
        </w:rPr>
      </w:pP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（盖单位章）</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法定代表人（负责人）：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身份证号码：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   年  月  日</w:t>
      </w:r>
    </w:p>
    <w:p>
      <w:pPr>
        <w:autoSpaceDE w:val="0"/>
        <w:autoSpaceDN w:val="0"/>
        <w:adjustRightInd w:val="0"/>
        <w:spacing w:line="300" w:lineRule="auto"/>
        <w:ind w:right="480" w:firstLine="4560" w:firstLineChars="1900"/>
        <w:rPr>
          <w:rFonts w:hint="eastAsia" w:ascii="黑体" w:hAnsi="黑体" w:eastAsia="黑体" w:cs="黑体"/>
          <w:color w:val="auto"/>
          <w:sz w:val="24"/>
          <w:szCs w:val="24"/>
          <w:highlight w:val="none"/>
        </w:rPr>
      </w:pPr>
    </w:p>
    <w:p>
      <w:pPr>
        <w:rPr>
          <w:rFonts w:hint="eastAsia" w:ascii="黑体" w:hAnsi="黑体" w:eastAsia="黑体" w:cs="黑体"/>
          <w:color w:val="auto"/>
          <w:sz w:val="24"/>
          <w:szCs w:val="24"/>
          <w:highlight w:val="none"/>
        </w:rPr>
      </w:pP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5000" w:type="pct"/>
            <w:shd w:val="clear" w:color="auto" w:fill="auto"/>
          </w:tcPr>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附：法定代表人（负责人）和授权代表身份证复印件(正反面)</w:t>
            </w:r>
          </w:p>
        </w:tc>
      </w:tr>
    </w:tbl>
    <w:p>
      <w:pPr>
        <w:rPr>
          <w:rFonts w:hint="eastAsia" w:ascii="黑体" w:hAnsi="黑体" w:eastAsia="黑体" w:cs="黑体"/>
          <w:color w:val="auto"/>
          <w:highlight w:val="none"/>
        </w:rPr>
      </w:pPr>
    </w:p>
    <w:p>
      <w:pPr>
        <w:widowControl/>
        <w:overflowPunct w:val="0"/>
        <w:jc w:val="left"/>
        <w:rPr>
          <w:rFonts w:hint="eastAsia" w:ascii="黑体" w:hAnsi="黑体" w:eastAsia="黑体" w:cs="黑体"/>
          <w:b/>
          <w:color w:val="auto"/>
          <w:sz w:val="32"/>
          <w:szCs w:val="32"/>
          <w:highlight w:val="none"/>
          <w:lang w:val="en-US" w:eastAsia="zh-CN"/>
        </w:rPr>
        <w:sectPr>
          <w:footerReference r:id="rId12" w:type="default"/>
          <w:pgSz w:w="11907" w:h="16841"/>
          <w:pgMar w:top="1304" w:right="1417" w:bottom="1304" w:left="1417" w:header="950" w:footer="1140" w:gutter="0"/>
          <w:pgNumType w:fmt="decimal"/>
          <w:cols w:space="720" w:num="1"/>
        </w:sectPr>
      </w:pPr>
    </w:p>
    <w:p>
      <w:pPr>
        <w:widowControl/>
        <w:overflowPunct w:val="0"/>
        <w:jc w:val="left"/>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附件二</w:t>
      </w:r>
    </w:p>
    <w:p>
      <w:pPr>
        <w:widowControl/>
        <w:overflowPunct w:val="0"/>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关于资格条件的有关承诺及声明</w:t>
      </w:r>
      <w:bookmarkEnd w:id="9"/>
      <w:bookmarkEnd w:id="10"/>
    </w:p>
    <w:p>
      <w:pPr>
        <w:rPr>
          <w:rFonts w:hint="eastAsia" w:ascii="黑体" w:hAnsi="黑体" w:eastAsia="黑体" w:cs="黑体"/>
          <w:b/>
          <w:color w:val="auto"/>
          <w:szCs w:val="21"/>
          <w:highlight w:val="none"/>
        </w:rPr>
      </w:pPr>
    </w:p>
    <w:p>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u w:val="single"/>
        </w:rPr>
        <w:t>采购人/采购代理机构</w:t>
      </w:r>
    </w:p>
    <w:p>
      <w:pPr>
        <w:adjustRightInd w:val="0"/>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我方承诺完全满足竞争性磋商文件对供应商的资格要求：</w:t>
      </w:r>
    </w:p>
    <w:p>
      <w:pPr>
        <w:adjustRightInd w:val="0"/>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1.满足《中华人民共和国政府采购法》第二十二条规定；</w:t>
      </w:r>
    </w:p>
    <w:p>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（1）具有独立承担民事责任的能力；</w:t>
      </w:r>
    </w:p>
    <w:p>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（2）具有良好的商业信誉和健全的财务会计制度；</w:t>
      </w:r>
    </w:p>
    <w:p>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（3）具有履行合同所必需的设备和专业技术能力；</w:t>
      </w:r>
    </w:p>
    <w:p>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（4）有依法缴纳税收和社会保障资金的良好记录；</w:t>
      </w:r>
    </w:p>
    <w:p>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（5）参加政府采购活动前三年内，在经营活动中没有重大违法记录：</w:t>
      </w:r>
    </w:p>
    <w:p>
      <w:pPr>
        <w:pStyle w:val="17"/>
        <w:numPr>
          <w:ilvl w:val="0"/>
          <w:numId w:val="4"/>
        </w:numPr>
        <w:adjustRightInd w:val="0"/>
        <w:snapToGrid w:val="0"/>
        <w:spacing w:line="360" w:lineRule="auto"/>
        <w:ind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shd w:val="clear" w:color="auto" w:fill="FFFFFF"/>
        </w:rPr>
        <w:t>我</w:t>
      </w:r>
      <w:r>
        <w:rPr>
          <w:rFonts w:hint="eastAsia" w:ascii="黑体" w:hAnsi="黑体" w:eastAsia="黑体" w:cs="黑体"/>
          <w:color w:val="auto"/>
          <w:sz w:val="24"/>
          <w:szCs w:val="24"/>
          <w:highlight w:val="none"/>
        </w:rPr>
        <w:t>方</w:t>
      </w:r>
      <w:r>
        <w:rPr>
          <w:rFonts w:hint="eastAsia" w:ascii="黑体" w:hAnsi="黑体" w:eastAsia="黑体" w:cs="黑体"/>
          <w:color w:val="auto"/>
          <w:sz w:val="24"/>
          <w:szCs w:val="24"/>
          <w:highlight w:val="none"/>
          <w:shd w:val="clear" w:color="auto" w:fill="FFFFFF"/>
        </w:rPr>
        <w:t>未因违法经营被追究过刑事责任；</w:t>
      </w:r>
    </w:p>
    <w:p>
      <w:pPr>
        <w:pStyle w:val="17"/>
        <w:numPr>
          <w:ilvl w:val="0"/>
          <w:numId w:val="4"/>
        </w:numPr>
        <w:adjustRightInd w:val="0"/>
        <w:snapToGrid w:val="0"/>
        <w:spacing w:line="360" w:lineRule="auto"/>
        <w:ind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shd w:val="clear" w:color="auto" w:fill="FFFFFF"/>
        </w:rPr>
        <w:t>我</w:t>
      </w:r>
      <w:r>
        <w:rPr>
          <w:rFonts w:hint="eastAsia" w:ascii="黑体" w:hAnsi="黑体" w:eastAsia="黑体" w:cs="黑体"/>
          <w:color w:val="auto"/>
          <w:sz w:val="24"/>
          <w:szCs w:val="24"/>
          <w:highlight w:val="none"/>
        </w:rPr>
        <w:t>方</w:t>
      </w:r>
      <w:r>
        <w:rPr>
          <w:rFonts w:hint="eastAsia" w:ascii="黑体" w:hAnsi="黑体" w:eastAsia="黑体" w:cs="黑体"/>
          <w:color w:val="auto"/>
          <w:sz w:val="24"/>
          <w:szCs w:val="24"/>
          <w:highlight w:val="none"/>
          <w:shd w:val="clear" w:color="auto" w:fill="FFFFFF"/>
        </w:rPr>
        <w:t>未因违法经营被责令停产停业、吊销许可证或者执照；</w:t>
      </w:r>
    </w:p>
    <w:p>
      <w:pPr>
        <w:pStyle w:val="17"/>
        <w:numPr>
          <w:ilvl w:val="0"/>
          <w:numId w:val="4"/>
        </w:numPr>
        <w:adjustRightInd w:val="0"/>
        <w:snapToGrid w:val="0"/>
        <w:spacing w:line="360" w:lineRule="auto"/>
        <w:ind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shd w:val="clear" w:color="auto" w:fill="FFFFFF"/>
        </w:rPr>
        <w:t>我</w:t>
      </w:r>
      <w:r>
        <w:rPr>
          <w:rFonts w:hint="eastAsia" w:ascii="黑体" w:hAnsi="黑体" w:eastAsia="黑体" w:cs="黑体"/>
          <w:color w:val="auto"/>
          <w:sz w:val="24"/>
          <w:szCs w:val="24"/>
          <w:highlight w:val="none"/>
        </w:rPr>
        <w:t>方</w:t>
      </w:r>
      <w:r>
        <w:rPr>
          <w:rFonts w:hint="eastAsia" w:ascii="黑体" w:hAnsi="黑体" w:eastAsia="黑体" w:cs="黑体"/>
          <w:color w:val="auto"/>
          <w:sz w:val="24"/>
          <w:szCs w:val="24"/>
          <w:highlight w:val="none"/>
          <w:shd w:val="clear" w:color="auto" w:fill="FFFFFF"/>
        </w:rPr>
        <w:t>未因违法经营被处以较大数额罚款等行政处罚。</w:t>
      </w:r>
    </w:p>
    <w:p>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（6）满足法律、行政法规规定的其他条件。</w:t>
      </w:r>
    </w:p>
    <w:p>
      <w:pPr>
        <w:adjustRightInd w:val="0"/>
        <w:snapToGrid w:val="0"/>
        <w:spacing w:line="360"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2.我公司未与单位负责人为同一人或者存在直接控股、管理关系的不同供应商，同时参加本项目同一合同项下的政府采购活动。</w:t>
      </w:r>
    </w:p>
    <w:p>
      <w:pPr>
        <w:adjustRightInd w:val="0"/>
        <w:snapToGrid w:val="0"/>
        <w:spacing w:line="360"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3.我方未为本采购项目提供整体设计、规范编制或者项目管理、监理、检测等服务的。</w:t>
      </w:r>
    </w:p>
    <w:p>
      <w:pPr>
        <w:adjustRightInd w:val="0"/>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我方保证上述信息的完整、客观、真实、准确，并愿意承担我方因提供虚假材料谋骗取成交所引起的一切法律后果。</w:t>
      </w:r>
    </w:p>
    <w:p>
      <w:pPr>
        <w:spacing w:line="360" w:lineRule="auto"/>
        <w:rPr>
          <w:rFonts w:hint="eastAsia" w:ascii="黑体" w:hAnsi="黑体" w:eastAsia="黑体" w:cs="黑体"/>
          <w:color w:val="auto"/>
          <w:sz w:val="24"/>
          <w:szCs w:val="24"/>
          <w:highlight w:val="none"/>
          <w:u w:val="single"/>
          <w:lang w:val="zh-CN"/>
        </w:rPr>
      </w:pPr>
      <w:r>
        <w:rPr>
          <w:rFonts w:hint="eastAsia" w:ascii="黑体" w:hAnsi="黑体" w:eastAsia="黑体" w:cs="黑体"/>
          <w:color w:val="auto"/>
          <w:sz w:val="24"/>
          <w:szCs w:val="24"/>
          <w:highlight w:val="none"/>
          <w:lang w:val="zh-CN"/>
        </w:rPr>
        <w:t>供应商（</w:t>
      </w:r>
      <w:r>
        <w:rPr>
          <w:rFonts w:hint="eastAsia" w:ascii="黑体" w:hAnsi="黑体" w:eastAsia="黑体" w:cs="黑体"/>
          <w:color w:val="auto"/>
          <w:sz w:val="24"/>
          <w:szCs w:val="24"/>
          <w:highlight w:val="none"/>
          <w:lang w:val="en-US" w:eastAsia="zh-CN"/>
        </w:rPr>
        <w:t>盖章</w:t>
      </w:r>
      <w:r>
        <w:rPr>
          <w:rFonts w:hint="eastAsia"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u w:val="single"/>
          <w:lang w:val="zh-CN"/>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lang w:val="zh-CN"/>
        </w:rPr>
        <w:t xml:space="preserve">    </w:t>
      </w:r>
    </w:p>
    <w:p>
      <w:pPr>
        <w:spacing w:line="360" w:lineRule="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lang w:val="zh-CN"/>
        </w:rPr>
        <w:t>法定代表人或其委托代理人(签字</w:t>
      </w:r>
      <w:r>
        <w:rPr>
          <w:rFonts w:hint="eastAsia" w:ascii="黑体" w:hAnsi="黑体" w:eastAsia="黑体" w:cs="黑体"/>
          <w:color w:val="auto"/>
          <w:sz w:val="24"/>
          <w:szCs w:val="24"/>
          <w:highlight w:val="none"/>
          <w:lang w:val="en-US" w:eastAsia="zh-CN"/>
        </w:rPr>
        <w:t>或盖章</w:t>
      </w:r>
      <w:r>
        <w:rPr>
          <w:rFonts w:hint="eastAsia"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u w:val="single"/>
          <w:lang w:val="en-US" w:eastAsia="zh-CN"/>
        </w:rPr>
        <w:t xml:space="preserve">           </w:t>
      </w:r>
    </w:p>
    <w:p>
      <w:pPr>
        <w:spacing w:line="360" w:lineRule="auto"/>
        <w:rPr>
          <w:rFonts w:hint="eastAsia" w:ascii="黑体" w:hAnsi="黑体" w:eastAsia="黑体" w:cs="黑体"/>
          <w:color w:val="auto"/>
          <w:sz w:val="24"/>
          <w:szCs w:val="24"/>
          <w:highlight w:val="none"/>
          <w:u w:val="single"/>
          <w:lang w:val="zh-CN"/>
        </w:rPr>
      </w:pPr>
      <w:r>
        <w:rPr>
          <w:rFonts w:hint="eastAsia" w:ascii="黑体" w:hAnsi="黑体" w:eastAsia="黑体" w:cs="黑体"/>
          <w:color w:val="auto"/>
          <w:sz w:val="24"/>
          <w:szCs w:val="24"/>
          <w:highlight w:val="none"/>
        </w:rPr>
        <w:t>日  期：</w:t>
      </w:r>
      <w:r>
        <w:rPr>
          <w:rFonts w:hint="eastAsia" w:ascii="黑体" w:hAnsi="黑体" w:eastAsia="黑体" w:cs="黑体"/>
          <w:color w:val="auto"/>
          <w:sz w:val="24"/>
          <w:szCs w:val="24"/>
          <w:highlight w:val="none"/>
          <w:u w:val="single"/>
          <w:lang w:val="zh-CN"/>
        </w:rPr>
        <w:t xml:space="preserve">                             </w:t>
      </w:r>
    </w:p>
    <w:p>
      <w:pPr>
        <w:pStyle w:val="4"/>
        <w:rPr>
          <w:rFonts w:hint="eastAsia" w:ascii="黑体" w:hAnsi="黑体" w:eastAsia="黑体" w:cs="黑体"/>
          <w:color w:val="auto"/>
          <w:highlight w:val="none"/>
        </w:rPr>
      </w:pPr>
    </w:p>
    <w:sectPr>
      <w:footerReference r:id="rId13" w:type="default"/>
      <w:pgSz w:w="11907" w:h="16841"/>
      <w:pgMar w:top="1304" w:right="1417" w:bottom="1304" w:left="1417" w:header="950" w:footer="11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KT72nY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rPr>
                        <w:sz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vfPWhD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P9bQWs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NR3mOY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503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JbfDwk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503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BEhxuI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5036"/>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BTiVEN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03BB5"/>
    <w:multiLevelType w:val="multilevel"/>
    <w:tmpl w:val="98B03BB5"/>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A3FEA6D7"/>
    <w:multiLevelType w:val="singleLevel"/>
    <w:tmpl w:val="A3FEA6D7"/>
    <w:lvl w:ilvl="0" w:tentative="0">
      <w:start w:val="2"/>
      <w:numFmt w:val="chineseCounting"/>
      <w:suff w:val="space"/>
      <w:lvlText w:val="第%1部分"/>
      <w:lvlJc w:val="left"/>
      <w:rPr>
        <w:rFonts w:hint="eastAsia"/>
      </w:rPr>
    </w:lvl>
  </w:abstractNum>
  <w:abstractNum w:abstractNumId="2">
    <w:nsid w:val="512D9CFA"/>
    <w:multiLevelType w:val="multilevel"/>
    <w:tmpl w:val="512D9CFA"/>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F50025"/>
    <w:multiLevelType w:val="multilevel"/>
    <w:tmpl w:val="73F5002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M0ODQ0ZGE5MDhjZDAxYTY4ZWFlZGE0ZjIzOGM4NzgifQ=="/>
  </w:docVars>
  <w:rsids>
    <w:rsidRoot w:val="00000000"/>
    <w:rsid w:val="20191C70"/>
    <w:rsid w:val="22495ABD"/>
    <w:rsid w:val="273E3C31"/>
    <w:rsid w:val="3452756D"/>
    <w:rsid w:val="349F4A49"/>
    <w:rsid w:val="44337C62"/>
    <w:rsid w:val="5C712E19"/>
    <w:rsid w:val="76C9780A"/>
    <w:rsid w:val="BEDF1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hint="default" w:ascii="Arial" w:hAnsi="Arial" w:eastAsia="黑体"/>
      <w:b/>
      <w:sz w:val="32"/>
      <w:szCs w:val="32"/>
    </w:rPr>
  </w:style>
  <w:style w:type="paragraph" w:styleId="3">
    <w:name w:val="heading 3"/>
    <w:basedOn w:val="1"/>
    <w:next w:val="1"/>
    <w:qFormat/>
    <w:uiPriority w:val="0"/>
    <w:pPr>
      <w:keepNext/>
      <w:keepLines/>
      <w:spacing w:before="260" w:after="260"/>
      <w:ind w:left="1080" w:hanging="720"/>
      <w:outlineLvl w:val="2"/>
    </w:pPr>
    <w:rPr>
      <w:rFonts w:hint="default" w:ascii="Times New Roman" w:hAnsi="Times New Roman"/>
      <w:sz w:val="24"/>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Arial" w:hAnsi="Arial" w:eastAsia="Arial" w:cs="Arial"/>
      <w:sz w:val="21"/>
      <w:szCs w:val="21"/>
      <w:lang w:val="en-US" w:eastAsia="en-US" w:bidi="ar-SA"/>
    </w:rPr>
  </w:style>
  <w:style w:type="paragraph" w:styleId="5">
    <w:name w:val="footer"/>
    <w:basedOn w:val="1"/>
    <w:qFormat/>
    <w:uiPriority w:val="0"/>
    <w:pPr>
      <w:snapToGrid w:val="0"/>
      <w:jc w:val="left"/>
    </w:pPr>
    <w:rPr>
      <w:rFonts w:hint="default"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after="120"/>
    </w:pPr>
    <w:rPr>
      <w:rFonts w:hint="default" w:ascii="Calibri" w:eastAsia="Calibri"/>
      <w:b/>
      <w:caps/>
      <w:sz w:val="20"/>
      <w:szCs w:val="20"/>
    </w:rPr>
  </w:style>
  <w:style w:type="paragraph" w:styleId="8">
    <w:name w:val="Body Text First Indent 2"/>
    <w:basedOn w:val="1"/>
    <w:next w:val="1"/>
    <w:qFormat/>
    <w:uiPriority w:val="0"/>
    <w:pPr>
      <w:ind w:firstLine="200" w:firstLineChars="200"/>
    </w:pPr>
  </w:style>
  <w:style w:type="table" w:styleId="10">
    <w:name w:val="Table Grid"/>
    <w:basedOn w:val="9"/>
    <w:qFormat/>
    <w:uiPriority w:val="0"/>
    <w:pPr>
      <w:widowControl w:val="0"/>
      <w:autoSpaceDE/>
      <w:autoSpaceDN/>
      <w:spacing w:before="0" w:after="0" w:line="240" w:lineRule="auto"/>
      <w:ind w:left="0" w:firstLine="0"/>
      <w:jc w:val="both"/>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No Spacing"/>
    <w:qFormat/>
    <w:uiPriority w:val="0"/>
    <w:pPr>
      <w:widowControl w:val="0"/>
    </w:pPr>
    <w:rPr>
      <w:rFonts w:hint="default" w:ascii="宋体" w:hAnsi="宋体" w:eastAsia="宋体" w:cs="Times New Roman"/>
      <w:kern w:val="2"/>
      <w:sz w:val="21"/>
      <w:szCs w:val="22"/>
      <w:lang w:val="en-US" w:eastAsia="zh-CN" w:bidi="ar-SA"/>
    </w:rPr>
  </w:style>
  <w:style w:type="paragraph" w:customStyle="1" w:styleId="16">
    <w:name w:val="Normal (Web)"/>
    <w:basedOn w:val="1"/>
    <w:qFormat/>
    <w:uiPriority w:val="0"/>
    <w:pPr>
      <w:widowControl/>
      <w:spacing w:before="100" w:beforeAutospacing="1" w:after="100" w:afterAutospacing="1"/>
      <w:jc w:val="left"/>
    </w:pPr>
    <w:rPr>
      <w:rFonts w:hint="default" w:ascii="宋体" w:hAnsi="宋体" w:cs="宋体"/>
      <w:kern w:val="0"/>
      <w:sz w:val="24"/>
    </w:rPr>
  </w:style>
  <w:style w:type="paragraph" w:customStyle="1"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5676</Words>
  <Characters>6045</Characters>
  <TotalTime>1</TotalTime>
  <ScaleCrop>false</ScaleCrop>
  <LinksUpToDate>false</LinksUpToDate>
  <CharactersWithSpaces>6936</CharactersWithSpaces>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2022-01-26T17:37:00Z</dcterms:created>
  <dc:creator>Scends_ge</dc:creator>
  <cp:lastModifiedBy>kylin</cp:lastModifiedBy>
  <dcterms:modified xsi:type="dcterms:W3CDTF">2024-08-20T16:44:49Z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2024-07-23T10:06:08Z</vt:filetime>
  </property>
  <property fmtid="{D5CDD505-2E9C-101B-9397-08002B2CF9AE}" pid="4" name="KSOProductBuildVer">
    <vt:lpwstr>2052-11.1.0.11664</vt:lpwstr>
  </property>
  <property fmtid="{D5CDD505-2E9C-101B-9397-08002B2CF9AE}" pid="5" name="ICV">
    <vt:lpwstr>58E853F580F7478BA662F97B94E2C888_12</vt:lpwstr>
  </property>
</Properties>
</file>