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32C1">
      <w:pPr>
        <w:autoSpaceDN w:val="0"/>
        <w:spacing w:after="0" w:line="240" w:lineRule="auto"/>
        <w:jc w:val="distribute"/>
        <w:rPr>
          <w:rFonts w:hint="eastAsia" w:ascii="黑体" w:hAnsi="黑体" w:eastAsia="黑体" w:cs="黑体"/>
          <w:b/>
          <w:bCs/>
          <w:sz w:val="52"/>
          <w:szCs w:val="52"/>
          <w:lang w:val="en-US" w:eastAsia="zh-CN"/>
          <w14:shadow w14:blurRad="50800" w14:dist="38100" w14:dir="0" w14:sx="100000" w14:sy="100000" w14:kx="0" w14:ky="0" w14:algn="l">
            <w14:srgbClr w14:val="000000">
              <w14:alpha w14:val="60000"/>
            </w14:srgbClr>
          </w14:shadow>
        </w:rPr>
      </w:pPr>
      <w:r>
        <w:rPr>
          <w:rFonts w:hint="eastAsia" w:ascii="黑体" w:hAnsi="黑体" w:eastAsia="黑体" w:cs="黑体"/>
          <w:b/>
          <w:bCs/>
          <w:sz w:val="52"/>
          <w:szCs w:val="52"/>
          <w:lang w:val="en-US" w:eastAsia="zh-CN"/>
          <w14:shadow w14:blurRad="50800" w14:dist="38100" w14:dir="0" w14:sx="100000" w14:sy="100000" w14:kx="0" w14:ky="0" w14:algn="l">
            <w14:srgbClr w14:val="000000">
              <w14:alpha w14:val="60000"/>
            </w14:srgbClr>
          </w14:shadow>
        </w:rPr>
        <w:t>湖北领先建设工程项目管理有限公司</w:t>
      </w:r>
    </w:p>
    <w:p w14:paraId="06E01D04">
      <w:pPr>
        <w:bidi w:val="0"/>
        <w:spacing w:line="240" w:lineRule="auto"/>
        <w:jc w:val="distribute"/>
        <w:rPr>
          <w:rFonts w:hint="eastAsia" w:ascii="黑体" w:hAnsi="黑体" w:eastAsia="黑体" w:cs="黑体"/>
          <w:sz w:val="24"/>
          <w:szCs w:val="24"/>
          <w14:shadow w14:blurRad="50800" w14:dist="38100" w14:dir="0" w14:sx="100000" w14:sy="100000" w14:kx="0" w14:ky="0" w14:algn="l">
            <w14:srgbClr w14:val="000000">
              <w14:alpha w14:val="60000"/>
            </w14:srgbClr>
          </w14:shadow>
        </w:rPr>
      </w:pPr>
      <w:r>
        <w:rPr>
          <w:rFonts w:hint="eastAsia" w:ascii="黑体" w:hAnsi="黑体" w:eastAsia="黑体" w:cs="黑体"/>
          <w:sz w:val="24"/>
          <w:szCs w:val="24"/>
          <w14:shadow w14:blurRad="50800" w14:dist="38100" w14:dir="0" w14:sx="100000" w14:sy="100000" w14:kx="0" w14:ky="0" w14:algn="l">
            <w14:srgbClr w14:val="000000">
              <w14:alpha w14:val="60000"/>
            </w14:srgbClr>
          </w14:shadow>
        </w:rPr>
        <w:t>Hubei Leading Construction Engineering Project Management Co., Ltd</w:t>
      </w:r>
    </w:p>
    <w:p w14:paraId="7AD40BFB">
      <w:pPr>
        <w:pStyle w:val="4"/>
        <w:spacing w:line="247" w:lineRule="auto"/>
        <w:rPr>
          <w:rFonts w:hint="eastAsia" w:ascii="黑体" w:hAnsi="黑体" w:eastAsia="黑体" w:cs="黑体"/>
          <w:color w:val="auto"/>
          <w:highlight w:val="none"/>
        </w:rPr>
      </w:pPr>
    </w:p>
    <w:p w14:paraId="1D613244">
      <w:pPr>
        <w:pStyle w:val="4"/>
        <w:spacing w:line="247" w:lineRule="auto"/>
        <w:rPr>
          <w:rFonts w:hint="eastAsia" w:ascii="黑体" w:hAnsi="黑体" w:eastAsia="黑体" w:cs="黑体"/>
          <w:color w:val="auto"/>
          <w:highlight w:val="none"/>
        </w:rPr>
      </w:pPr>
    </w:p>
    <w:p w14:paraId="78C15F79">
      <w:pPr>
        <w:pStyle w:val="4"/>
        <w:spacing w:line="247" w:lineRule="auto"/>
        <w:rPr>
          <w:rFonts w:hint="eastAsia" w:ascii="黑体" w:hAnsi="黑体" w:eastAsia="黑体" w:cs="黑体"/>
          <w:color w:val="auto"/>
          <w:highlight w:val="none"/>
        </w:rPr>
      </w:pPr>
    </w:p>
    <w:p w14:paraId="5A8C3815">
      <w:pPr>
        <w:pStyle w:val="4"/>
        <w:spacing w:line="248" w:lineRule="auto"/>
        <w:rPr>
          <w:rFonts w:hint="eastAsia" w:ascii="黑体" w:hAnsi="黑体" w:eastAsia="黑体" w:cs="黑体"/>
          <w:color w:val="auto"/>
          <w:highlight w:val="none"/>
        </w:rPr>
      </w:pPr>
    </w:p>
    <w:p w14:paraId="45A244D2">
      <w:pPr>
        <w:pStyle w:val="4"/>
        <w:spacing w:line="248" w:lineRule="auto"/>
        <w:rPr>
          <w:rFonts w:hint="eastAsia" w:ascii="黑体" w:hAnsi="黑体" w:eastAsia="黑体" w:cs="黑体"/>
          <w:color w:val="auto"/>
          <w:highlight w:val="none"/>
        </w:rPr>
      </w:pPr>
    </w:p>
    <w:p w14:paraId="72ECE5A5">
      <w:pPr>
        <w:pStyle w:val="4"/>
        <w:spacing w:line="248" w:lineRule="auto"/>
        <w:rPr>
          <w:rFonts w:hint="eastAsia" w:ascii="黑体" w:hAnsi="黑体" w:eastAsia="黑体" w:cs="黑体"/>
          <w:color w:val="auto"/>
          <w:highlight w:val="none"/>
        </w:rPr>
      </w:pPr>
    </w:p>
    <w:p w14:paraId="59B8199E">
      <w:pPr>
        <w:pStyle w:val="4"/>
        <w:spacing w:line="248" w:lineRule="auto"/>
        <w:rPr>
          <w:rFonts w:hint="eastAsia" w:ascii="黑体" w:hAnsi="黑体" w:eastAsia="黑体" w:cs="黑体"/>
          <w:color w:val="auto"/>
          <w:highlight w:val="none"/>
        </w:rPr>
      </w:pPr>
    </w:p>
    <w:p w14:paraId="007652CE">
      <w:pPr>
        <w:pStyle w:val="4"/>
        <w:spacing w:line="248" w:lineRule="auto"/>
        <w:rPr>
          <w:rFonts w:hint="eastAsia" w:ascii="黑体" w:hAnsi="黑体" w:eastAsia="黑体" w:cs="黑体"/>
          <w:color w:val="auto"/>
          <w:highlight w:val="none"/>
        </w:rPr>
      </w:pPr>
    </w:p>
    <w:p w14:paraId="53EF1144">
      <w:pPr>
        <w:pStyle w:val="4"/>
        <w:spacing w:line="248" w:lineRule="auto"/>
        <w:rPr>
          <w:rFonts w:hint="eastAsia" w:ascii="黑体" w:hAnsi="黑体" w:eastAsia="黑体" w:cs="黑体"/>
          <w:color w:val="auto"/>
          <w:highlight w:val="none"/>
        </w:rPr>
      </w:pPr>
    </w:p>
    <w:p w14:paraId="5202B324">
      <w:pPr>
        <w:pStyle w:val="4"/>
        <w:spacing w:line="248" w:lineRule="auto"/>
        <w:rPr>
          <w:rFonts w:hint="eastAsia" w:ascii="黑体" w:hAnsi="黑体" w:eastAsia="黑体" w:cs="黑体"/>
          <w:color w:val="auto"/>
          <w:highlight w:val="none"/>
        </w:rPr>
      </w:pPr>
    </w:p>
    <w:p w14:paraId="6EC87935">
      <w:pPr>
        <w:pStyle w:val="4"/>
        <w:spacing w:line="248" w:lineRule="auto"/>
        <w:rPr>
          <w:rFonts w:hint="eastAsia" w:ascii="黑体" w:hAnsi="黑体" w:eastAsia="黑体" w:cs="黑体"/>
          <w:color w:val="auto"/>
          <w:highlight w:val="none"/>
        </w:rPr>
      </w:pPr>
    </w:p>
    <w:p w14:paraId="3CD79013">
      <w:pPr>
        <w:pStyle w:val="4"/>
        <w:spacing w:line="248" w:lineRule="auto"/>
        <w:rPr>
          <w:rFonts w:hint="eastAsia" w:ascii="黑体" w:hAnsi="黑体" w:eastAsia="黑体" w:cs="黑体"/>
          <w:color w:val="auto"/>
          <w:highlight w:val="none"/>
        </w:rPr>
      </w:pPr>
    </w:p>
    <w:p w14:paraId="16E34143">
      <w:pPr>
        <w:spacing w:before="386" w:line="195" w:lineRule="auto"/>
        <w:jc w:val="center"/>
        <w:rPr>
          <w:rFonts w:hint="eastAsia" w:ascii="黑体" w:hAnsi="黑体" w:eastAsia="黑体" w:cs="黑体"/>
          <w:color w:val="auto"/>
          <w:sz w:val="90"/>
          <w:szCs w:val="90"/>
          <w:highlight w:val="none"/>
        </w:rPr>
      </w:pPr>
      <w:r>
        <w:rPr>
          <w:rFonts w:hint="eastAsia" w:ascii="黑体" w:hAnsi="黑体" w:eastAsia="黑体" w:cs="黑体"/>
          <w:color w:val="auto"/>
          <w:spacing w:val="-5"/>
          <w:sz w:val="90"/>
          <w:szCs w:val="90"/>
          <w:highlight w:val="none"/>
        </w:rPr>
        <w:t>需求公示文件</w:t>
      </w:r>
    </w:p>
    <w:p w14:paraId="67653E39">
      <w:pPr>
        <w:pStyle w:val="4"/>
        <w:spacing w:line="252" w:lineRule="auto"/>
        <w:rPr>
          <w:rFonts w:hint="eastAsia" w:ascii="黑体" w:hAnsi="黑体" w:eastAsia="黑体" w:cs="黑体"/>
          <w:color w:val="auto"/>
          <w:highlight w:val="none"/>
        </w:rPr>
      </w:pPr>
    </w:p>
    <w:p w14:paraId="1282FDA4">
      <w:pPr>
        <w:pStyle w:val="4"/>
        <w:spacing w:line="252" w:lineRule="auto"/>
        <w:rPr>
          <w:rFonts w:hint="eastAsia" w:ascii="黑体" w:hAnsi="黑体" w:eastAsia="黑体" w:cs="黑体"/>
          <w:color w:val="auto"/>
          <w:highlight w:val="none"/>
        </w:rPr>
      </w:pPr>
    </w:p>
    <w:p w14:paraId="58C0D088">
      <w:pPr>
        <w:pStyle w:val="4"/>
        <w:spacing w:line="252" w:lineRule="auto"/>
        <w:rPr>
          <w:rFonts w:hint="eastAsia" w:ascii="黑体" w:hAnsi="黑体" w:eastAsia="黑体" w:cs="黑体"/>
          <w:color w:val="auto"/>
          <w:highlight w:val="none"/>
        </w:rPr>
      </w:pPr>
    </w:p>
    <w:p w14:paraId="39C853CB">
      <w:pPr>
        <w:pStyle w:val="4"/>
        <w:spacing w:line="252" w:lineRule="auto"/>
        <w:rPr>
          <w:rFonts w:hint="eastAsia" w:ascii="黑体" w:hAnsi="黑体" w:eastAsia="黑体" w:cs="黑体"/>
          <w:color w:val="auto"/>
          <w:highlight w:val="none"/>
        </w:rPr>
      </w:pPr>
    </w:p>
    <w:p w14:paraId="258AB2A2">
      <w:pPr>
        <w:pStyle w:val="4"/>
        <w:spacing w:line="252" w:lineRule="auto"/>
        <w:rPr>
          <w:rFonts w:hint="eastAsia" w:ascii="黑体" w:hAnsi="黑体" w:eastAsia="黑体" w:cs="黑体"/>
          <w:color w:val="auto"/>
          <w:highlight w:val="none"/>
        </w:rPr>
      </w:pPr>
    </w:p>
    <w:p w14:paraId="7AB1C73C">
      <w:pPr>
        <w:pStyle w:val="4"/>
        <w:spacing w:line="252" w:lineRule="auto"/>
        <w:rPr>
          <w:rFonts w:hint="eastAsia" w:ascii="黑体" w:hAnsi="黑体" w:eastAsia="黑体" w:cs="黑体"/>
          <w:color w:val="auto"/>
          <w:highlight w:val="none"/>
        </w:rPr>
      </w:pPr>
    </w:p>
    <w:p w14:paraId="516C08B5">
      <w:pPr>
        <w:pStyle w:val="4"/>
        <w:spacing w:line="252" w:lineRule="auto"/>
        <w:rPr>
          <w:rFonts w:hint="eastAsia" w:ascii="黑体" w:hAnsi="黑体" w:eastAsia="黑体" w:cs="黑体"/>
          <w:color w:val="auto"/>
          <w:highlight w:val="none"/>
        </w:rPr>
      </w:pPr>
    </w:p>
    <w:p w14:paraId="130B8403">
      <w:pPr>
        <w:pStyle w:val="4"/>
        <w:spacing w:line="252" w:lineRule="auto"/>
        <w:rPr>
          <w:rFonts w:hint="eastAsia" w:ascii="黑体" w:hAnsi="黑体" w:eastAsia="黑体" w:cs="黑体"/>
          <w:color w:val="auto"/>
          <w:highlight w:val="none"/>
        </w:rPr>
      </w:pPr>
    </w:p>
    <w:p w14:paraId="59436427">
      <w:pPr>
        <w:pStyle w:val="4"/>
        <w:spacing w:line="252" w:lineRule="auto"/>
        <w:rPr>
          <w:rFonts w:hint="eastAsia" w:ascii="黑体" w:hAnsi="黑体" w:eastAsia="黑体" w:cs="黑体"/>
          <w:color w:val="auto"/>
          <w:highlight w:val="none"/>
        </w:rPr>
      </w:pPr>
    </w:p>
    <w:p w14:paraId="444E50E8">
      <w:pPr>
        <w:pStyle w:val="4"/>
        <w:spacing w:line="252" w:lineRule="auto"/>
        <w:rPr>
          <w:rFonts w:hint="eastAsia" w:ascii="黑体" w:hAnsi="黑体" w:eastAsia="黑体" w:cs="黑体"/>
          <w:color w:val="auto"/>
          <w:highlight w:val="none"/>
        </w:rPr>
      </w:pPr>
    </w:p>
    <w:p w14:paraId="002546A8">
      <w:pPr>
        <w:pStyle w:val="4"/>
        <w:spacing w:line="252" w:lineRule="auto"/>
        <w:rPr>
          <w:rFonts w:hint="eastAsia" w:ascii="黑体" w:hAnsi="黑体" w:eastAsia="黑体" w:cs="黑体"/>
          <w:color w:val="auto"/>
          <w:highlight w:val="none"/>
        </w:rPr>
      </w:pPr>
    </w:p>
    <w:p w14:paraId="140CBABC">
      <w:pPr>
        <w:widowControl/>
        <w:spacing w:line="700" w:lineRule="exact"/>
        <w:ind w:firstLine="562" w:firstLineChars="2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项目编号：</w:t>
      </w:r>
      <w:r>
        <w:rPr>
          <w:rFonts w:hint="eastAsia" w:ascii="黑体" w:hAnsi="黑体" w:eastAsia="黑体" w:cs="黑体"/>
          <w:b/>
          <w:color w:val="auto"/>
          <w:sz w:val="28"/>
          <w:szCs w:val="28"/>
          <w:highlight w:val="none"/>
          <w:lang w:val="en-US" w:eastAsia="zh-CN"/>
        </w:rPr>
        <w:t>LX-DL-2025-031</w:t>
      </w:r>
    </w:p>
    <w:p w14:paraId="6F7CD8EA">
      <w:pPr>
        <w:widowControl/>
        <w:spacing w:line="700" w:lineRule="exact"/>
        <w:ind w:firstLine="562" w:firstLineChars="2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项目名称：</w:t>
      </w:r>
      <w:r>
        <w:rPr>
          <w:rFonts w:hint="eastAsia" w:ascii="黑体" w:hAnsi="黑体" w:eastAsia="黑体" w:cs="黑体"/>
          <w:b/>
          <w:color w:val="auto"/>
          <w:sz w:val="28"/>
          <w:szCs w:val="28"/>
          <w:highlight w:val="none"/>
          <w:lang w:eastAsia="zh-CN"/>
        </w:rPr>
        <w:t>黄石市红十字会2025年自动体外除颤仪（AED）采购项目</w:t>
      </w:r>
    </w:p>
    <w:p w14:paraId="408CBE90">
      <w:pPr>
        <w:widowControl/>
        <w:spacing w:line="700" w:lineRule="exact"/>
        <w:ind w:firstLine="562" w:firstLineChars="200"/>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rPr>
        <w:t>采购单位：</w:t>
      </w:r>
      <w:r>
        <w:rPr>
          <w:rFonts w:hint="eastAsia" w:ascii="黑体" w:hAnsi="黑体" w:eastAsia="黑体" w:cs="黑体"/>
          <w:b/>
          <w:color w:val="auto"/>
          <w:sz w:val="28"/>
          <w:szCs w:val="28"/>
          <w:highlight w:val="none"/>
          <w:lang w:val="en-US" w:eastAsia="zh-CN"/>
        </w:rPr>
        <w:t>黄石市红十字会</w:t>
      </w:r>
    </w:p>
    <w:p w14:paraId="2C2F22E5">
      <w:pPr>
        <w:tabs>
          <w:tab w:val="left" w:pos="2625"/>
        </w:tabs>
        <w:spacing w:line="480" w:lineRule="auto"/>
        <w:rPr>
          <w:rFonts w:hint="eastAsia" w:ascii="黑体" w:hAnsi="黑体" w:eastAsia="黑体" w:cs="黑体"/>
          <w:b/>
          <w:color w:val="auto"/>
          <w:sz w:val="28"/>
          <w:szCs w:val="28"/>
          <w:highlight w:val="none"/>
        </w:rPr>
      </w:pPr>
    </w:p>
    <w:p w14:paraId="0473218D">
      <w:pPr>
        <w:pStyle w:val="4"/>
        <w:rPr>
          <w:rFonts w:hint="eastAsia" w:ascii="黑体" w:hAnsi="黑体" w:eastAsia="黑体" w:cs="黑体"/>
          <w:color w:val="auto"/>
          <w:sz w:val="28"/>
          <w:szCs w:val="28"/>
          <w:highlight w:val="none"/>
        </w:rPr>
      </w:pPr>
    </w:p>
    <w:p w14:paraId="2EE5666E">
      <w:pPr>
        <w:widowControl/>
        <w:tabs>
          <w:tab w:val="left" w:pos="2625"/>
        </w:tabs>
        <w:spacing w:line="360" w:lineRule="auto"/>
        <w:jc w:val="center"/>
        <w:rPr>
          <w:rFonts w:hint="eastAsia" w:ascii="黑体" w:hAnsi="黑体" w:eastAsia="黑体" w:cs="黑体"/>
          <w:b/>
          <w:color w:val="auto"/>
          <w:spacing w:val="45"/>
          <w:sz w:val="28"/>
          <w:szCs w:val="28"/>
          <w:highlight w:val="none"/>
          <w:lang w:eastAsia="zh-CN"/>
        </w:rPr>
      </w:pPr>
      <w:r>
        <w:rPr>
          <w:rFonts w:hint="eastAsia" w:ascii="黑体" w:hAnsi="黑体" w:eastAsia="黑体" w:cs="黑体"/>
          <w:b/>
          <w:color w:val="auto"/>
          <w:spacing w:val="45"/>
          <w:sz w:val="28"/>
          <w:szCs w:val="28"/>
          <w:highlight w:val="none"/>
        </w:rPr>
        <w:t xml:space="preserve"> </w:t>
      </w:r>
      <w:r>
        <w:rPr>
          <w:rFonts w:hint="eastAsia" w:ascii="黑体" w:hAnsi="黑体" w:eastAsia="黑体" w:cs="黑体"/>
          <w:b/>
          <w:color w:val="auto"/>
          <w:spacing w:val="45"/>
          <w:sz w:val="28"/>
          <w:szCs w:val="28"/>
          <w:highlight w:val="none"/>
          <w:lang w:eastAsia="zh-CN"/>
        </w:rPr>
        <w:t>湖北领先建设工程项目管理有限公司</w:t>
      </w:r>
    </w:p>
    <w:p w14:paraId="61813160">
      <w:pPr>
        <w:spacing w:line="360" w:lineRule="auto"/>
        <w:jc w:val="center"/>
        <w:rPr>
          <w:rFonts w:hint="eastAsia" w:ascii="黑体" w:hAnsi="黑体" w:eastAsia="黑体" w:cs="黑体"/>
          <w:b/>
          <w:color w:val="auto"/>
          <w:spacing w:val="45"/>
          <w:sz w:val="28"/>
          <w:szCs w:val="28"/>
          <w:highlight w:val="none"/>
        </w:rPr>
        <w:sectPr>
          <w:pgSz w:w="11922" w:h="16860"/>
          <w:pgMar w:top="1417" w:right="1417" w:bottom="1417" w:left="1417" w:header="1077" w:footer="1134" w:gutter="0"/>
          <w:cols w:space="0" w:num="1"/>
          <w:docGrid w:linePitch="286" w:charSpace="0"/>
        </w:sectPr>
      </w:pPr>
      <w:r>
        <w:rPr>
          <w:rFonts w:hint="eastAsia" w:ascii="黑体" w:hAnsi="黑体" w:eastAsia="黑体" w:cs="黑体"/>
          <w:b/>
          <w:color w:val="auto"/>
          <w:spacing w:val="45"/>
          <w:sz w:val="28"/>
          <w:szCs w:val="28"/>
          <w:highlight w:val="none"/>
          <w:lang w:val="en-US" w:eastAsia="zh-CN"/>
        </w:rPr>
        <w:t>2025</w:t>
      </w:r>
      <w:r>
        <w:rPr>
          <w:rFonts w:hint="eastAsia" w:ascii="黑体" w:hAnsi="黑体" w:eastAsia="黑体" w:cs="黑体"/>
          <w:b/>
          <w:color w:val="auto"/>
          <w:spacing w:val="45"/>
          <w:sz w:val="28"/>
          <w:szCs w:val="28"/>
          <w:highlight w:val="none"/>
        </w:rPr>
        <w:t>年</w:t>
      </w:r>
      <w:r>
        <w:rPr>
          <w:rFonts w:hint="eastAsia" w:ascii="黑体" w:hAnsi="黑体" w:eastAsia="黑体" w:cs="黑体"/>
          <w:b/>
          <w:color w:val="auto"/>
          <w:spacing w:val="45"/>
          <w:sz w:val="28"/>
          <w:szCs w:val="28"/>
          <w:highlight w:val="none"/>
          <w:lang w:val="en-US" w:eastAsia="zh-CN"/>
        </w:rPr>
        <w:t>09</w:t>
      </w:r>
      <w:r>
        <w:rPr>
          <w:rFonts w:hint="eastAsia" w:ascii="黑体" w:hAnsi="黑体" w:eastAsia="黑体" w:cs="黑体"/>
          <w:b/>
          <w:color w:val="auto"/>
          <w:spacing w:val="45"/>
          <w:sz w:val="28"/>
          <w:szCs w:val="28"/>
          <w:highlight w:val="none"/>
        </w:rPr>
        <w:t>月</w:t>
      </w:r>
    </w:p>
    <w:p w14:paraId="616E5A33">
      <w:pPr>
        <w:spacing w:before="91" w:line="219" w:lineRule="auto"/>
        <w:ind w:left="3050"/>
        <w:outlineLvl w:val="0"/>
        <w:rPr>
          <w:rFonts w:hint="eastAsia" w:ascii="黑体" w:hAnsi="黑体" w:eastAsia="黑体" w:cs="黑体"/>
          <w:color w:val="auto"/>
          <w:sz w:val="28"/>
          <w:szCs w:val="28"/>
          <w:highlight w:val="none"/>
          <w:lang w:val="en-US" w:eastAsia="zh-CN"/>
        </w:rPr>
      </w:pPr>
      <w:r>
        <w:rPr>
          <w:rFonts w:hint="eastAsia" w:ascii="黑体" w:hAnsi="黑体" w:eastAsia="黑体" w:cs="黑体"/>
          <w:b/>
          <w:bCs/>
          <w:color w:val="auto"/>
          <w:spacing w:val="-8"/>
          <w:sz w:val="28"/>
          <w:szCs w:val="28"/>
          <w:highlight w:val="none"/>
        </w:rPr>
        <w:t>第一部分</w:t>
      </w:r>
      <w:r>
        <w:rPr>
          <w:rFonts w:hint="eastAsia" w:ascii="黑体" w:hAnsi="黑体" w:eastAsia="黑体" w:cs="黑体"/>
          <w:b/>
          <w:bCs/>
          <w:color w:val="auto"/>
          <w:spacing w:val="57"/>
          <w:sz w:val="28"/>
          <w:szCs w:val="28"/>
          <w:highlight w:val="none"/>
        </w:rPr>
        <w:t xml:space="preserve"> </w:t>
      </w:r>
      <w:r>
        <w:rPr>
          <w:rFonts w:hint="eastAsia" w:ascii="黑体" w:hAnsi="黑体" w:eastAsia="黑体" w:cs="黑体"/>
          <w:b/>
          <w:bCs/>
          <w:color w:val="auto"/>
          <w:spacing w:val="57"/>
          <w:sz w:val="28"/>
          <w:szCs w:val="28"/>
          <w:highlight w:val="none"/>
          <w:lang w:val="en-US" w:eastAsia="zh-CN"/>
        </w:rPr>
        <w:t>征集公告</w:t>
      </w:r>
    </w:p>
    <w:p w14:paraId="45CDD8B3">
      <w:pPr>
        <w:bidi w:val="0"/>
        <w:spacing w:line="360" w:lineRule="auto"/>
        <w:rPr>
          <w:rFonts w:hint="eastAsia" w:ascii="黑体" w:hAnsi="黑体" w:eastAsia="黑体" w:cs="黑体"/>
          <w:b/>
          <w:bCs/>
          <w:sz w:val="24"/>
          <w:szCs w:val="24"/>
          <w:highlight w:val="none"/>
        </w:rPr>
      </w:pPr>
      <w:bookmarkStart w:id="0" w:name="_Toc28359012"/>
      <w:bookmarkStart w:id="1" w:name="_Toc28359089"/>
      <w:bookmarkStart w:id="2" w:name="_Toc35393798"/>
      <w:bookmarkStart w:id="3" w:name="_Toc35393629"/>
      <w:r>
        <w:rPr>
          <w:rFonts w:hint="eastAsia" w:ascii="黑体" w:hAnsi="黑体" w:eastAsia="黑体" w:cs="黑体"/>
          <w:b/>
          <w:bCs/>
          <w:sz w:val="24"/>
          <w:szCs w:val="24"/>
          <w:highlight w:val="none"/>
          <w:lang w:val="en-US" w:eastAsia="zh-CN"/>
        </w:rPr>
        <w:t>一、</w:t>
      </w:r>
      <w:r>
        <w:rPr>
          <w:rFonts w:hint="eastAsia" w:ascii="黑体" w:hAnsi="黑体" w:eastAsia="黑体" w:cs="黑体"/>
          <w:b/>
          <w:bCs/>
          <w:sz w:val="24"/>
          <w:szCs w:val="24"/>
          <w:highlight w:val="none"/>
        </w:rPr>
        <w:t>项目基本情况</w:t>
      </w:r>
      <w:bookmarkEnd w:id="0"/>
      <w:bookmarkEnd w:id="1"/>
      <w:bookmarkEnd w:id="2"/>
      <w:bookmarkEnd w:id="3"/>
    </w:p>
    <w:p w14:paraId="50C6EB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1、项目编号：</w:t>
      </w:r>
      <w:r>
        <w:rPr>
          <w:rFonts w:hint="eastAsia" w:ascii="黑体" w:hAnsi="黑体" w:eastAsia="黑体" w:cs="黑体"/>
          <w:sz w:val="24"/>
          <w:szCs w:val="24"/>
          <w:highlight w:val="none"/>
          <w:lang w:val="en-US" w:eastAsia="zh-CN"/>
        </w:rPr>
        <w:t>LX-DL-2025-031</w:t>
      </w:r>
    </w:p>
    <w:p w14:paraId="56AE28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、项目名称：</w:t>
      </w:r>
      <w:r>
        <w:rPr>
          <w:rFonts w:hint="eastAsia" w:ascii="黑体" w:hAnsi="黑体" w:eastAsia="黑体" w:cs="黑体"/>
          <w:sz w:val="24"/>
          <w:szCs w:val="24"/>
          <w:highlight w:val="none"/>
          <w:lang w:eastAsia="zh-CN"/>
        </w:rPr>
        <w:t>黄石市红十字会2025年自动体外除颤仪（AED）采购项目</w:t>
      </w:r>
    </w:p>
    <w:p w14:paraId="16EDBD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3</w:t>
      </w:r>
      <w:r>
        <w:rPr>
          <w:rFonts w:hint="eastAsia" w:ascii="黑体" w:hAnsi="黑体" w:eastAsia="黑体" w:cs="黑体"/>
          <w:sz w:val="24"/>
          <w:szCs w:val="24"/>
          <w:highlight w:val="none"/>
        </w:rPr>
        <w:t>、采购方式：竞争性磋商</w:t>
      </w:r>
    </w:p>
    <w:p w14:paraId="47D068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4</w:t>
      </w:r>
      <w:r>
        <w:rPr>
          <w:rFonts w:hint="eastAsia" w:ascii="黑体" w:hAnsi="黑体" w:eastAsia="黑体" w:cs="黑体"/>
          <w:sz w:val="24"/>
          <w:szCs w:val="24"/>
          <w:highlight w:val="none"/>
        </w:rPr>
        <w:t>、最高限价：</w:t>
      </w:r>
      <w:r>
        <w:rPr>
          <w:rFonts w:hint="eastAsia" w:ascii="黑体" w:hAnsi="黑体" w:eastAsia="黑体" w:cs="黑体"/>
          <w:sz w:val="24"/>
          <w:szCs w:val="24"/>
          <w:highlight w:val="none"/>
          <w:lang w:val="en-US" w:eastAsia="zh-CN"/>
        </w:rPr>
        <w:t>58万</w:t>
      </w:r>
      <w:r>
        <w:rPr>
          <w:rFonts w:hint="eastAsia" w:ascii="黑体" w:hAnsi="黑体" w:eastAsia="黑体" w:cs="黑体"/>
          <w:sz w:val="24"/>
          <w:szCs w:val="24"/>
          <w:highlight w:val="none"/>
        </w:rPr>
        <w:t>元</w:t>
      </w:r>
    </w:p>
    <w:p w14:paraId="5AFEC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合同履行期限</w:t>
      </w:r>
      <w:r>
        <w:rPr>
          <w:rFonts w:hint="eastAsia" w:ascii="黑体" w:hAnsi="黑体" w:eastAsia="黑体" w:cs="黑体"/>
          <w:sz w:val="24"/>
          <w:szCs w:val="24"/>
          <w:highlight w:val="none"/>
        </w:rPr>
        <w:t>：</w:t>
      </w:r>
      <w:r>
        <w:rPr>
          <w:rFonts w:hint="eastAsia" w:ascii="黑体" w:hAnsi="黑体" w:eastAsia="黑体" w:cs="黑体"/>
          <w:sz w:val="24"/>
          <w:szCs w:val="24"/>
          <w:lang w:val="en-US" w:eastAsia="zh-CN"/>
        </w:rPr>
        <w:t>合同签订后30个日历天内完成供货、安装及调试</w:t>
      </w:r>
    </w:p>
    <w:p w14:paraId="5934CD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、采购</w:t>
      </w:r>
      <w:r>
        <w:rPr>
          <w:rFonts w:hint="eastAsia" w:ascii="黑体" w:hAnsi="黑体" w:eastAsia="黑体" w:cs="黑体"/>
          <w:sz w:val="24"/>
          <w:szCs w:val="24"/>
          <w:highlight w:val="none"/>
          <w:lang w:val="en-US" w:eastAsia="zh-CN"/>
        </w:rPr>
        <w:t>内容</w:t>
      </w:r>
      <w:r>
        <w:rPr>
          <w:rFonts w:hint="eastAsia" w:ascii="黑体" w:hAnsi="黑体" w:eastAsia="黑体" w:cs="黑体"/>
          <w:sz w:val="24"/>
          <w:szCs w:val="24"/>
          <w:highlight w:val="none"/>
        </w:rPr>
        <w:t>：</w:t>
      </w:r>
      <w:r>
        <w:rPr>
          <w:rFonts w:hint="eastAsia" w:ascii="黑体" w:hAnsi="黑体" w:eastAsia="黑体" w:cs="黑体"/>
          <w:sz w:val="24"/>
          <w:szCs w:val="24"/>
          <w:highlight w:val="none"/>
          <w:lang w:eastAsia="zh-CN"/>
        </w:rPr>
        <w:t>不少于</w:t>
      </w:r>
      <w:r>
        <w:rPr>
          <w:rFonts w:hint="eastAsia" w:ascii="黑体" w:hAnsi="黑体" w:eastAsia="黑体" w:cs="黑体"/>
          <w:sz w:val="24"/>
          <w:szCs w:val="24"/>
          <w:highlight w:val="none"/>
          <w:lang w:val="en-US" w:eastAsia="zh-CN"/>
        </w:rPr>
        <w:t>100台自动体外除颤仪（AED）的供货、安装、调试</w:t>
      </w:r>
    </w:p>
    <w:tbl>
      <w:tblPr>
        <w:tblStyle w:val="10"/>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049"/>
        <w:gridCol w:w="1666"/>
        <w:gridCol w:w="2300"/>
      </w:tblGrid>
      <w:tr w14:paraId="3EE2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00" w:type="dxa"/>
            <w:noWrap w:val="0"/>
            <w:vAlign w:val="center"/>
          </w:tcPr>
          <w:p w14:paraId="1F6AE321">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序号</w:t>
            </w:r>
          </w:p>
        </w:tc>
        <w:tc>
          <w:tcPr>
            <w:tcW w:w="3049" w:type="dxa"/>
            <w:noWrap w:val="0"/>
            <w:vAlign w:val="center"/>
          </w:tcPr>
          <w:p w14:paraId="45BF9737">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名称</w:t>
            </w:r>
          </w:p>
        </w:tc>
        <w:tc>
          <w:tcPr>
            <w:tcW w:w="1666" w:type="dxa"/>
            <w:noWrap w:val="0"/>
            <w:vAlign w:val="center"/>
          </w:tcPr>
          <w:p w14:paraId="7B4287AE">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数量</w:t>
            </w:r>
          </w:p>
        </w:tc>
        <w:tc>
          <w:tcPr>
            <w:tcW w:w="2300" w:type="dxa"/>
            <w:noWrap w:val="0"/>
            <w:vAlign w:val="center"/>
          </w:tcPr>
          <w:p w14:paraId="0680020A">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default"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安装地点</w:t>
            </w:r>
          </w:p>
        </w:tc>
      </w:tr>
      <w:tr w14:paraId="2881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00" w:type="dxa"/>
            <w:noWrap w:val="0"/>
            <w:vAlign w:val="center"/>
          </w:tcPr>
          <w:p w14:paraId="538C17F9">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sz w:val="24"/>
                <w:szCs w:val="24"/>
                <w:highlight w:val="none"/>
                <w:vertAlign w:val="baseline"/>
                <w:lang w:val="en-US" w:eastAsia="zh-CN"/>
              </w:rPr>
            </w:pPr>
            <w:r>
              <w:rPr>
                <w:rFonts w:hint="eastAsia" w:ascii="黑体" w:hAnsi="黑体" w:eastAsia="黑体" w:cs="黑体"/>
                <w:sz w:val="24"/>
                <w:szCs w:val="24"/>
                <w:highlight w:val="none"/>
                <w:vertAlign w:val="baseline"/>
                <w:lang w:val="en-US" w:eastAsia="zh-CN"/>
              </w:rPr>
              <w:t>1</w:t>
            </w:r>
          </w:p>
        </w:tc>
        <w:tc>
          <w:tcPr>
            <w:tcW w:w="3049" w:type="dxa"/>
            <w:noWrap w:val="0"/>
            <w:vAlign w:val="center"/>
          </w:tcPr>
          <w:p w14:paraId="25697C86">
            <w:pPr>
              <w:widowControl w:val="0"/>
              <w:spacing w:before="0" w:after="0"/>
              <w:ind w:left="0" w:firstLine="200" w:firstLineChars="0"/>
              <w:jc w:val="center"/>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自动体外除颤仪（AED）</w:t>
            </w:r>
          </w:p>
        </w:tc>
        <w:tc>
          <w:tcPr>
            <w:tcW w:w="1666" w:type="dxa"/>
            <w:noWrap w:val="0"/>
            <w:vAlign w:val="center"/>
          </w:tcPr>
          <w:p w14:paraId="70C899A6">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vertAlign w:val="baseline"/>
                <w:lang w:val="en-US" w:eastAsia="zh-CN"/>
              </w:rPr>
              <w:t>不少于100台</w:t>
            </w:r>
          </w:p>
        </w:tc>
        <w:tc>
          <w:tcPr>
            <w:tcW w:w="2300" w:type="dxa"/>
            <w:noWrap w:val="0"/>
            <w:vAlign w:val="center"/>
          </w:tcPr>
          <w:p w14:paraId="6C480B7F">
            <w:pPr>
              <w:keepNext w:val="0"/>
              <w:keepLines w:val="0"/>
              <w:pageBreakBefore w:val="0"/>
              <w:widowControl w:val="0"/>
              <w:kinsoku/>
              <w:wordWrap/>
              <w:overflowPunct/>
              <w:topLinePunct w:val="0"/>
              <w:autoSpaceDE/>
              <w:autoSpaceDN/>
              <w:bidi w:val="0"/>
              <w:adjustRightInd/>
              <w:snapToGrid/>
              <w:spacing w:before="0" w:after="0"/>
              <w:ind w:left="0" w:firstLine="0"/>
              <w:jc w:val="center"/>
              <w:textAlignment w:val="auto"/>
              <w:rPr>
                <w:rFonts w:hint="eastAsia" w:ascii="黑体" w:hAnsi="黑体" w:eastAsia="黑体" w:cs="黑体"/>
                <w:b w:val="0"/>
                <w:bCs w:val="0"/>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采购人确定的地点</w:t>
            </w:r>
          </w:p>
        </w:tc>
      </w:tr>
    </w:tbl>
    <w:p w14:paraId="1E0BD2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具体详见</w:t>
      </w:r>
      <w:r>
        <w:rPr>
          <w:rFonts w:hint="eastAsia" w:ascii="黑体" w:hAnsi="黑体" w:eastAsia="黑体" w:cs="黑体"/>
          <w:sz w:val="24"/>
          <w:szCs w:val="24"/>
          <w:highlight w:val="none"/>
          <w:lang w:val="en-US" w:eastAsia="zh-CN"/>
        </w:rPr>
        <w:t>附件</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 xml:space="preserve"> 采购需求</w:t>
      </w:r>
      <w:r>
        <w:rPr>
          <w:rFonts w:hint="eastAsia" w:ascii="黑体" w:hAnsi="黑体" w:eastAsia="黑体" w:cs="黑体"/>
          <w:sz w:val="24"/>
          <w:szCs w:val="24"/>
          <w:highlight w:val="none"/>
        </w:rPr>
        <w:t>”。</w:t>
      </w:r>
    </w:p>
    <w:p w14:paraId="396E60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、本项目（是/否）接受联合体响应：否</w:t>
      </w:r>
    </w:p>
    <w:p w14:paraId="5CE07B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本项目（是/否）接受合同分包：</w:t>
      </w:r>
      <w:r>
        <w:rPr>
          <w:rFonts w:hint="eastAsia" w:ascii="黑体" w:hAnsi="黑体" w:eastAsia="黑体" w:cs="黑体"/>
          <w:sz w:val="24"/>
          <w:szCs w:val="24"/>
          <w:highlight w:val="none"/>
          <w:lang w:val="en-US" w:eastAsia="zh-CN"/>
        </w:rPr>
        <w:t>否</w:t>
      </w:r>
    </w:p>
    <w:p w14:paraId="15A352DE">
      <w:pPr>
        <w:bidi w:val="0"/>
        <w:spacing w:line="360" w:lineRule="auto"/>
        <w:rPr>
          <w:rFonts w:hint="eastAsia" w:ascii="黑体" w:hAnsi="黑体" w:eastAsia="黑体" w:cs="黑体"/>
          <w:sz w:val="24"/>
          <w:szCs w:val="24"/>
          <w:highlight w:val="none"/>
        </w:rPr>
      </w:pPr>
      <w:bookmarkStart w:id="4" w:name="_Toc28359013"/>
      <w:bookmarkStart w:id="5" w:name="_Toc35393630"/>
      <w:bookmarkStart w:id="6" w:name="_Toc35393799"/>
      <w:bookmarkStart w:id="7" w:name="_Toc28359090"/>
      <w:r>
        <w:rPr>
          <w:rFonts w:hint="eastAsia" w:ascii="黑体" w:hAnsi="黑体" w:eastAsia="黑体" w:cs="黑体"/>
          <w:b/>
          <w:bCs/>
          <w:sz w:val="24"/>
          <w:szCs w:val="24"/>
          <w:highlight w:val="none"/>
        </w:rPr>
        <w:t>二、供应商的资格要求</w:t>
      </w:r>
      <w:bookmarkEnd w:id="4"/>
      <w:bookmarkEnd w:id="5"/>
      <w:bookmarkEnd w:id="6"/>
      <w:bookmarkEnd w:id="7"/>
      <w:r>
        <w:rPr>
          <w:rFonts w:hint="eastAsia" w:ascii="黑体" w:hAnsi="黑体" w:eastAsia="黑体" w:cs="黑体"/>
          <w:sz w:val="24"/>
          <w:szCs w:val="24"/>
          <w:highlight w:val="none"/>
        </w:rPr>
        <w:tab/>
      </w:r>
    </w:p>
    <w:p w14:paraId="16E24F52">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1、供应商应具备《政府采购法》第二十二条规定的条件；</w:t>
      </w:r>
    </w:p>
    <w:p w14:paraId="65662B3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（1）具有独立承担民事责任的能力；</w:t>
      </w:r>
    </w:p>
    <w:p w14:paraId="7F2ECE4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（2）具有良好的商业信誉和健全的财务会计制度；</w:t>
      </w:r>
    </w:p>
    <w:p w14:paraId="769DBD97">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（3）具有履行合同所必需的设备和专业技术能力；</w:t>
      </w:r>
    </w:p>
    <w:p w14:paraId="58D4F5C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（4）有依法缴纳税收和社会保障资金的良好记录；</w:t>
      </w:r>
    </w:p>
    <w:p w14:paraId="527532F6">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（5）参加政府采购活动前三年内，在经营活动中没有重大违法记录。</w:t>
      </w:r>
    </w:p>
    <w:p w14:paraId="138EC28E">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（6）法律、行政法规规定的其他条件。      </w:t>
      </w:r>
    </w:p>
    <w:p w14:paraId="527938D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2、未被“信用中国”网站列入失信被执行人名单、重大税收违法失信主体名单、政府采购严重违法失信行为记录名单。</w:t>
      </w:r>
    </w:p>
    <w:p w14:paraId="5649629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3、单位负责人为同一人或者存在直接控股、管理关系的不同供应商，不得参加本项目同一合同项下的政府采购活动。</w:t>
      </w:r>
    </w:p>
    <w:p w14:paraId="3EC5E7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4、</w:t>
      </w:r>
      <w:r>
        <w:rPr>
          <w:rFonts w:hint="eastAsia" w:ascii="黑体" w:hAnsi="黑体" w:eastAsia="黑体" w:cs="黑体"/>
          <w:sz w:val="24"/>
          <w:szCs w:val="24"/>
          <w:highlight w:val="none"/>
        </w:rPr>
        <w:t>为本采购项目提供整体设计、规范编制或者项目管理、监理、检测等服务的，不得再参加本项目的其他招标采购活动。</w:t>
      </w:r>
    </w:p>
    <w:p w14:paraId="0F48CD3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、本项目的特定资格要求：</w:t>
      </w:r>
    </w:p>
    <w:p w14:paraId="08BD00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sz w:val="24"/>
          <w:szCs w:val="24"/>
          <w:highlight w:val="none"/>
          <w:lang w:val="en-US" w:eastAsia="zh-CN"/>
        </w:rPr>
        <w:t>供应商须具有</w:t>
      </w:r>
      <w:r>
        <w:rPr>
          <w:rFonts w:hint="eastAsia" w:ascii="黑体" w:hAnsi="黑体" w:eastAsia="黑体" w:cs="黑体"/>
          <w:sz w:val="24"/>
          <w:szCs w:val="24"/>
          <w:highlight w:val="none"/>
        </w:rPr>
        <w:t>《医疗器械经营许可证》</w:t>
      </w:r>
      <w:r>
        <w:rPr>
          <w:rFonts w:hint="eastAsia" w:ascii="黑体" w:hAnsi="黑体" w:eastAsia="黑体" w:cs="黑体"/>
          <w:sz w:val="24"/>
          <w:szCs w:val="24"/>
          <w:highlight w:val="none"/>
          <w:lang w:val="en-US" w:eastAsia="zh-CN"/>
        </w:rPr>
        <w:t>或《医疗器械生产许可证》，</w:t>
      </w:r>
      <w:r>
        <w:rPr>
          <w:rFonts w:hint="eastAsia" w:ascii="黑体" w:hAnsi="黑体" w:eastAsia="黑体" w:cs="黑体"/>
          <w:sz w:val="24"/>
          <w:szCs w:val="24"/>
          <w:highlight w:val="none"/>
        </w:rPr>
        <w:t>和</w:t>
      </w:r>
      <w:r>
        <w:rPr>
          <w:rFonts w:hint="eastAsia" w:ascii="黑体" w:hAnsi="黑体" w:eastAsia="黑体" w:cs="黑体"/>
          <w:sz w:val="24"/>
          <w:szCs w:val="24"/>
          <w:highlight w:val="none"/>
          <w:lang w:val="en-US" w:eastAsia="zh-CN"/>
        </w:rPr>
        <w:t>所提供</w:t>
      </w:r>
      <w:r>
        <w:rPr>
          <w:rFonts w:hint="eastAsia" w:ascii="黑体" w:hAnsi="黑体" w:eastAsia="黑体" w:cs="黑体"/>
          <w:sz w:val="24"/>
          <w:szCs w:val="24"/>
          <w:highlight w:val="none"/>
        </w:rPr>
        <w:t>产品的《医疗器械注册证》；</w:t>
      </w:r>
    </w:p>
    <w:p w14:paraId="79C77A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rPr>
        <w:t>（2）所提供设备的制造商或授权代理商，制造商只能授权一个代理商参加本项目的磋商采购活动，制造商和代理商不得同时参加本项目的磋商采购活动</w:t>
      </w:r>
      <w:r>
        <w:rPr>
          <w:rFonts w:hint="eastAsia" w:ascii="黑体" w:hAnsi="黑体" w:eastAsia="黑体" w:cs="黑体"/>
          <w:sz w:val="24"/>
          <w:szCs w:val="24"/>
          <w:highlight w:val="none"/>
          <w:lang w:eastAsia="zh-CN"/>
        </w:rPr>
        <w:t>。</w:t>
      </w:r>
    </w:p>
    <w:p w14:paraId="2CBA4BED">
      <w:pPr>
        <w:bidi w:val="0"/>
        <w:spacing w:line="360" w:lineRule="auto"/>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三、需求公示</w:t>
      </w:r>
    </w:p>
    <w:p w14:paraId="2EFBD5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FF0000"/>
          <w:sz w:val="24"/>
          <w:szCs w:val="24"/>
          <w:highlight w:val="none"/>
          <w:lang w:eastAsia="zh-CN"/>
        </w:rPr>
      </w:pPr>
      <w:r>
        <w:rPr>
          <w:rFonts w:hint="eastAsia" w:ascii="黑体" w:hAnsi="黑体" w:eastAsia="黑体" w:cs="黑体"/>
          <w:sz w:val="24"/>
          <w:szCs w:val="24"/>
          <w:highlight w:val="none"/>
          <w:lang w:eastAsia="zh-CN"/>
        </w:rPr>
        <w:t>1、公示期：</w:t>
      </w:r>
      <w:r>
        <w:rPr>
          <w:rFonts w:hint="eastAsia" w:ascii="黑体" w:hAnsi="黑体" w:eastAsia="黑体" w:cs="黑体"/>
          <w:color w:val="FF0000"/>
          <w:sz w:val="24"/>
          <w:szCs w:val="24"/>
          <w:highlight w:val="none"/>
          <w:lang w:eastAsia="zh-CN"/>
        </w:rPr>
        <w:t>202</w:t>
      </w:r>
      <w:r>
        <w:rPr>
          <w:rFonts w:hint="eastAsia" w:ascii="黑体" w:hAnsi="黑体" w:eastAsia="黑体" w:cs="黑体"/>
          <w:color w:val="FF0000"/>
          <w:sz w:val="24"/>
          <w:szCs w:val="24"/>
          <w:highlight w:val="none"/>
          <w:lang w:val="en-US" w:eastAsia="zh-CN"/>
        </w:rPr>
        <w:t xml:space="preserve">5 </w:t>
      </w:r>
      <w:r>
        <w:rPr>
          <w:rFonts w:hint="eastAsia" w:ascii="黑体" w:hAnsi="黑体" w:eastAsia="黑体" w:cs="黑体"/>
          <w:color w:val="FF0000"/>
          <w:sz w:val="24"/>
          <w:szCs w:val="24"/>
          <w:highlight w:val="none"/>
          <w:lang w:eastAsia="zh-CN"/>
        </w:rPr>
        <w:t>年</w:t>
      </w:r>
      <w:r>
        <w:rPr>
          <w:rFonts w:hint="eastAsia" w:ascii="黑体" w:hAnsi="黑体" w:eastAsia="黑体" w:cs="黑体"/>
          <w:color w:val="FF0000"/>
          <w:sz w:val="24"/>
          <w:szCs w:val="24"/>
          <w:highlight w:val="none"/>
          <w:lang w:val="en-US" w:eastAsia="zh-CN"/>
        </w:rPr>
        <w:t xml:space="preserve"> 09 </w:t>
      </w:r>
      <w:r>
        <w:rPr>
          <w:rFonts w:hint="eastAsia" w:ascii="黑体" w:hAnsi="黑体" w:eastAsia="黑体" w:cs="黑体"/>
          <w:color w:val="FF0000"/>
          <w:sz w:val="24"/>
          <w:szCs w:val="24"/>
          <w:highlight w:val="none"/>
          <w:lang w:eastAsia="zh-CN"/>
        </w:rPr>
        <w:t>月</w:t>
      </w:r>
      <w:r>
        <w:rPr>
          <w:rFonts w:hint="eastAsia" w:ascii="黑体" w:hAnsi="黑体" w:eastAsia="黑体" w:cs="黑体"/>
          <w:color w:val="FF0000"/>
          <w:sz w:val="24"/>
          <w:szCs w:val="24"/>
          <w:highlight w:val="none"/>
          <w:lang w:val="en-US" w:eastAsia="zh-CN"/>
        </w:rPr>
        <w:t xml:space="preserve"> 10 </w:t>
      </w:r>
      <w:r>
        <w:rPr>
          <w:rFonts w:hint="eastAsia" w:ascii="黑体" w:hAnsi="黑体" w:eastAsia="黑体" w:cs="黑体"/>
          <w:color w:val="FF0000"/>
          <w:sz w:val="24"/>
          <w:szCs w:val="24"/>
          <w:highlight w:val="none"/>
          <w:lang w:eastAsia="zh-CN"/>
        </w:rPr>
        <w:t>日至</w:t>
      </w:r>
      <w:r>
        <w:rPr>
          <w:rFonts w:hint="eastAsia" w:ascii="黑体" w:hAnsi="黑体" w:eastAsia="黑体" w:cs="黑体"/>
          <w:color w:val="FF0000"/>
          <w:sz w:val="24"/>
          <w:szCs w:val="24"/>
          <w:highlight w:val="none"/>
          <w:lang w:val="en-US" w:eastAsia="zh-CN"/>
        </w:rPr>
        <w:t xml:space="preserve"> </w:t>
      </w:r>
      <w:r>
        <w:rPr>
          <w:rFonts w:hint="eastAsia" w:ascii="黑体" w:hAnsi="黑体" w:eastAsia="黑体" w:cs="黑体"/>
          <w:color w:val="FF0000"/>
          <w:sz w:val="24"/>
          <w:szCs w:val="24"/>
          <w:highlight w:val="none"/>
          <w:lang w:eastAsia="zh-CN"/>
        </w:rPr>
        <w:t>202</w:t>
      </w:r>
      <w:r>
        <w:rPr>
          <w:rFonts w:hint="eastAsia" w:ascii="黑体" w:hAnsi="黑体" w:eastAsia="黑体" w:cs="黑体"/>
          <w:color w:val="FF0000"/>
          <w:sz w:val="24"/>
          <w:szCs w:val="24"/>
          <w:highlight w:val="none"/>
          <w:lang w:val="en-US" w:eastAsia="zh-CN"/>
        </w:rPr>
        <w:t xml:space="preserve">5 </w:t>
      </w:r>
      <w:r>
        <w:rPr>
          <w:rFonts w:hint="eastAsia" w:ascii="黑体" w:hAnsi="黑体" w:eastAsia="黑体" w:cs="黑体"/>
          <w:color w:val="FF0000"/>
          <w:sz w:val="24"/>
          <w:szCs w:val="24"/>
          <w:highlight w:val="none"/>
          <w:lang w:eastAsia="zh-CN"/>
        </w:rPr>
        <w:t>年</w:t>
      </w:r>
      <w:r>
        <w:rPr>
          <w:rFonts w:hint="eastAsia" w:ascii="黑体" w:hAnsi="黑体" w:eastAsia="黑体" w:cs="黑体"/>
          <w:color w:val="FF0000"/>
          <w:sz w:val="24"/>
          <w:szCs w:val="24"/>
          <w:highlight w:val="none"/>
          <w:lang w:val="en-US" w:eastAsia="zh-CN"/>
        </w:rPr>
        <w:t xml:space="preserve"> 09 </w:t>
      </w:r>
      <w:r>
        <w:rPr>
          <w:rFonts w:hint="eastAsia" w:ascii="黑体" w:hAnsi="黑体" w:eastAsia="黑体" w:cs="黑体"/>
          <w:color w:val="FF0000"/>
          <w:sz w:val="24"/>
          <w:szCs w:val="24"/>
          <w:highlight w:val="none"/>
          <w:lang w:eastAsia="zh-CN"/>
        </w:rPr>
        <w:t>月</w:t>
      </w:r>
      <w:r>
        <w:rPr>
          <w:rFonts w:hint="eastAsia" w:ascii="黑体" w:hAnsi="黑体" w:eastAsia="黑体" w:cs="黑体"/>
          <w:color w:val="FF0000"/>
          <w:sz w:val="24"/>
          <w:szCs w:val="24"/>
          <w:highlight w:val="none"/>
          <w:lang w:val="en-US" w:eastAsia="zh-CN"/>
        </w:rPr>
        <w:t xml:space="preserve"> 17 </w:t>
      </w:r>
      <w:r>
        <w:rPr>
          <w:rFonts w:hint="eastAsia" w:ascii="黑体" w:hAnsi="黑体" w:eastAsia="黑体" w:cs="黑体"/>
          <w:color w:val="FF0000"/>
          <w:sz w:val="24"/>
          <w:szCs w:val="24"/>
          <w:highlight w:val="none"/>
          <w:lang w:eastAsia="zh-CN"/>
        </w:rPr>
        <w:t>日。</w:t>
      </w:r>
    </w:p>
    <w:p w14:paraId="5A8D20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lang w:eastAsia="zh-CN"/>
        </w:rPr>
        <w:t>发布公告的媒介：本次采购公告在《</w:t>
      </w:r>
      <w:r>
        <w:rPr>
          <w:rFonts w:hint="eastAsia" w:ascii="黑体" w:hAnsi="黑体" w:eastAsia="黑体" w:cs="黑体"/>
          <w:sz w:val="24"/>
          <w:szCs w:val="24"/>
          <w:highlight w:val="none"/>
          <w:lang w:val="en-US" w:eastAsia="zh-CN"/>
        </w:rPr>
        <w:t>黄石市红十字会</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eastAsia="zh-CN"/>
        </w:rPr>
        <w:fldChar w:fldCharType="begin" w:fldLock="1"/>
      </w:r>
      <w:r>
        <w:rPr>
          <w:rFonts w:hint="eastAsia" w:ascii="黑体" w:hAnsi="黑体" w:eastAsia="黑体" w:cs="黑体"/>
          <w:sz w:val="24"/>
          <w:szCs w:val="24"/>
          <w:highlight w:val="none"/>
          <w:lang w:eastAsia="zh-CN"/>
        </w:rPr>
        <w:instrText xml:space="preserve"> HYPERLINK "http://www.hsztbzx.com）" </w:instrText>
      </w:r>
      <w:r>
        <w:rPr>
          <w:rFonts w:hint="eastAsia" w:ascii="黑体" w:hAnsi="黑体" w:eastAsia="黑体" w:cs="黑体"/>
          <w:sz w:val="24"/>
          <w:szCs w:val="24"/>
          <w:highlight w:val="none"/>
          <w:lang w:eastAsia="zh-CN"/>
        </w:rPr>
        <w:fldChar w:fldCharType="separate"/>
      </w:r>
      <w:r>
        <w:rPr>
          <w:rFonts w:hint="eastAsia" w:ascii="黑体" w:hAnsi="黑体" w:eastAsia="黑体" w:cs="黑体"/>
          <w:sz w:val="24"/>
          <w:szCs w:val="24"/>
          <w:highlight w:val="none"/>
          <w:lang w:val="zh-CN" w:eastAsia="zh-CN"/>
        </w:rPr>
        <w:t>http://hssredcross.org.cn/</w:t>
      </w:r>
      <w:r>
        <w:rPr>
          <w:rFonts w:hint="eastAsia" w:ascii="黑体" w:hAnsi="黑体" w:eastAsia="黑体" w:cs="黑体"/>
          <w:sz w:val="24"/>
          <w:szCs w:val="24"/>
          <w:highlight w:val="none"/>
          <w:lang w:eastAsia="zh-CN"/>
        </w:rPr>
        <w:fldChar w:fldCharType="end"/>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highlight w:val="none"/>
          <w:lang w:val="en-US" w:eastAsia="zh-CN"/>
        </w:rPr>
        <w:t>湖北领先建设工程项目管理有限公司</w:t>
      </w:r>
      <w:r>
        <w:rPr>
          <w:rFonts w:hint="eastAsia" w:ascii="黑体" w:hAnsi="黑体" w:eastAsia="黑体" w:cs="黑体"/>
          <w:color w:val="auto"/>
          <w:sz w:val="24"/>
          <w:szCs w:val="24"/>
          <w:highlight w:val="none"/>
          <w:lang w:eastAsia="zh-CN"/>
        </w:rPr>
        <w:t>》https://wanliluzhaobiao.cn/page4?article_category_more=6</w:t>
      </w:r>
      <w:r>
        <w:rPr>
          <w:rFonts w:hint="eastAsia" w:ascii="黑体" w:hAnsi="黑体" w:eastAsia="黑体" w:cs="黑体"/>
          <w:sz w:val="24"/>
          <w:szCs w:val="24"/>
          <w:highlight w:val="none"/>
          <w:lang w:eastAsia="zh-CN"/>
        </w:rPr>
        <w:t>上发布。</w:t>
      </w:r>
    </w:p>
    <w:p w14:paraId="6CC6D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3、需求公示的目的：就采购需求的公正性与专业性征询各潜在供应商的意见，无论是否反馈意见均不影响供应商参与征集名单。如对资格条件和采购需求有相关建议，可在公示期内将书面的建议加盖公章扫描后发至邮箱2091229832@qq.com，未加盖公章或公示期后再发送的将不予受理。</w:t>
      </w:r>
    </w:p>
    <w:p w14:paraId="3B26F80A">
      <w:pPr>
        <w:widowControl/>
        <w:spacing w:line="500" w:lineRule="exact"/>
        <w:ind w:firstLine="482" w:firstLineChars="200"/>
        <w:rPr>
          <w:rFonts w:hint="eastAsia" w:ascii="黑体" w:hAnsi="黑体" w:eastAsia="黑体" w:cs="黑体"/>
          <w:b/>
          <w:bCs/>
          <w:sz w:val="24"/>
          <w:highlight w:val="none"/>
        </w:rPr>
      </w:pPr>
      <w:r>
        <w:rPr>
          <w:rFonts w:hint="eastAsia" w:ascii="黑体" w:hAnsi="黑体" w:eastAsia="黑体" w:cs="黑体"/>
          <w:b/>
          <w:bCs/>
          <w:sz w:val="24"/>
          <w:highlight w:val="none"/>
          <w:lang w:val="en-US" w:eastAsia="zh-CN"/>
        </w:rPr>
        <w:t>四</w:t>
      </w:r>
      <w:r>
        <w:rPr>
          <w:rFonts w:hint="eastAsia" w:ascii="黑体" w:hAnsi="黑体" w:eastAsia="黑体" w:cs="黑体"/>
          <w:b/>
          <w:bCs/>
          <w:sz w:val="24"/>
          <w:highlight w:val="none"/>
          <w:lang w:val="zh-CN"/>
        </w:rPr>
        <w:t>、联系</w:t>
      </w:r>
      <w:r>
        <w:rPr>
          <w:rFonts w:hint="eastAsia" w:ascii="黑体" w:hAnsi="黑体" w:eastAsia="黑体" w:cs="黑体"/>
          <w:b/>
          <w:bCs/>
          <w:sz w:val="24"/>
          <w:highlight w:val="none"/>
        </w:rPr>
        <w:t>方式</w:t>
      </w:r>
    </w:p>
    <w:p w14:paraId="3D51EABE">
      <w:pPr>
        <w:widowControl/>
        <w:spacing w:line="500" w:lineRule="exact"/>
        <w:ind w:firstLine="480" w:firstLineChars="200"/>
        <w:rPr>
          <w:rFonts w:hint="eastAsia" w:ascii="黑体" w:hAnsi="黑体" w:eastAsia="黑体" w:cs="黑体"/>
          <w:sz w:val="24"/>
          <w:highlight w:val="none"/>
          <w:lang w:val="zh-CN"/>
        </w:rPr>
      </w:pPr>
      <w:r>
        <w:rPr>
          <w:rFonts w:hint="eastAsia" w:ascii="黑体" w:hAnsi="黑体" w:eastAsia="黑体" w:cs="黑体"/>
          <w:sz w:val="24"/>
          <w:highlight w:val="none"/>
          <w:lang w:val="zh-CN"/>
        </w:rPr>
        <w:t>1、采购人信息</w:t>
      </w:r>
    </w:p>
    <w:p w14:paraId="0F812DAC">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rPr>
        <w:t>名  称：</w:t>
      </w:r>
      <w:r>
        <w:rPr>
          <w:rFonts w:hint="eastAsia" w:ascii="黑体" w:hAnsi="黑体" w:eastAsia="黑体" w:cs="黑体"/>
          <w:sz w:val="24"/>
          <w:highlight w:val="none"/>
          <w:lang w:val="en-US" w:eastAsia="zh-CN"/>
        </w:rPr>
        <w:t>黄石市红十字会</w:t>
      </w:r>
    </w:p>
    <w:p w14:paraId="56D6F042">
      <w:pPr>
        <w:widowControl/>
        <w:spacing w:line="500" w:lineRule="exact"/>
        <w:ind w:firstLine="480" w:firstLineChars="200"/>
        <w:rPr>
          <w:rFonts w:hint="eastAsia" w:ascii="黑体" w:hAnsi="黑体" w:eastAsia="黑体" w:cs="黑体"/>
          <w:sz w:val="24"/>
          <w:highlight w:val="none"/>
          <w:lang w:val="en-US" w:eastAsia="zh-CN"/>
        </w:rPr>
      </w:pPr>
      <w:r>
        <w:rPr>
          <w:rFonts w:hint="eastAsia" w:ascii="黑体" w:hAnsi="黑体" w:eastAsia="黑体" w:cs="黑体"/>
          <w:sz w:val="24"/>
          <w:highlight w:val="none"/>
          <w:lang w:val="zh-CN"/>
        </w:rPr>
        <w:t>地  址：黄石市下陸区团城山街道桂林南路10号</w:t>
      </w:r>
    </w:p>
    <w:p w14:paraId="777512FE">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rPr>
        <w:t>联系</w:t>
      </w:r>
      <w:r>
        <w:rPr>
          <w:rFonts w:hint="eastAsia" w:ascii="黑体" w:hAnsi="黑体" w:eastAsia="黑体" w:cs="黑体"/>
          <w:color w:val="auto"/>
          <w:sz w:val="24"/>
          <w:highlight w:val="none"/>
          <w:lang w:val="zh-CN"/>
        </w:rPr>
        <w:t>人：</w:t>
      </w:r>
      <w:r>
        <w:rPr>
          <w:rFonts w:hint="eastAsia" w:ascii="黑体" w:hAnsi="黑体" w:eastAsia="黑体" w:cs="黑体"/>
          <w:color w:val="auto"/>
          <w:sz w:val="24"/>
          <w:highlight w:val="none"/>
          <w:lang w:val="en-US" w:eastAsia="zh-CN"/>
        </w:rPr>
        <w:t>陈博文</w:t>
      </w:r>
    </w:p>
    <w:p w14:paraId="79ABE114">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rPr>
        <w:t>电  话：</w:t>
      </w:r>
      <w:r>
        <w:rPr>
          <w:rFonts w:hint="eastAsia" w:ascii="黑体" w:hAnsi="黑体" w:eastAsia="黑体" w:cs="黑体"/>
          <w:sz w:val="24"/>
          <w:highlight w:val="none"/>
          <w:lang w:val="en-US" w:eastAsia="zh-CN"/>
        </w:rPr>
        <w:t>13597641172</w:t>
      </w:r>
    </w:p>
    <w:p w14:paraId="66612D48">
      <w:pPr>
        <w:widowControl/>
        <w:spacing w:line="500" w:lineRule="exact"/>
        <w:ind w:firstLine="480" w:firstLineChars="200"/>
        <w:rPr>
          <w:rFonts w:hint="eastAsia" w:ascii="黑体" w:hAnsi="黑体" w:eastAsia="黑体" w:cs="黑体"/>
          <w:sz w:val="24"/>
          <w:highlight w:val="none"/>
          <w:lang w:val="zh-CN"/>
        </w:rPr>
      </w:pPr>
      <w:r>
        <w:rPr>
          <w:rFonts w:hint="eastAsia" w:ascii="黑体" w:hAnsi="黑体" w:eastAsia="黑体" w:cs="黑体"/>
          <w:sz w:val="24"/>
          <w:highlight w:val="none"/>
          <w:lang w:val="zh-CN"/>
        </w:rPr>
        <w:t>2、采购代理机构信息</w:t>
      </w:r>
    </w:p>
    <w:p w14:paraId="0801BDD9">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rPr>
        <w:t>名  称：</w:t>
      </w:r>
      <w:r>
        <w:rPr>
          <w:rFonts w:hint="eastAsia" w:ascii="黑体" w:hAnsi="黑体" w:eastAsia="黑体" w:cs="黑体"/>
          <w:sz w:val="24"/>
          <w:highlight w:val="none"/>
          <w:lang w:val="en-US" w:eastAsia="zh-CN"/>
        </w:rPr>
        <w:t>湖北领先建设工程项目管理有限公司</w:t>
      </w:r>
    </w:p>
    <w:p w14:paraId="090F40EA">
      <w:pPr>
        <w:widowControl/>
        <w:spacing w:line="500" w:lineRule="exact"/>
        <w:ind w:firstLine="480" w:firstLineChars="200"/>
        <w:rPr>
          <w:rFonts w:hint="eastAsia" w:ascii="黑体" w:hAnsi="黑体" w:eastAsia="黑体" w:cs="黑体"/>
          <w:sz w:val="24"/>
          <w:highlight w:val="none"/>
          <w:lang w:val="zh-CN" w:eastAsia="zh-CN"/>
        </w:rPr>
      </w:pPr>
      <w:r>
        <w:rPr>
          <w:rFonts w:hint="eastAsia" w:ascii="黑体" w:hAnsi="黑体" w:eastAsia="黑体" w:cs="黑体"/>
          <w:sz w:val="24"/>
          <w:highlight w:val="none"/>
          <w:lang w:val="zh-CN" w:eastAsia="zh-CN"/>
        </w:rPr>
        <w:t>地</w:t>
      </w:r>
      <w:r>
        <w:rPr>
          <w:rFonts w:hint="eastAsia" w:ascii="黑体" w:hAnsi="黑体" w:eastAsia="黑体" w:cs="黑体"/>
          <w:sz w:val="24"/>
          <w:highlight w:val="none"/>
          <w:lang w:val="en-US" w:eastAsia="zh-CN"/>
        </w:rPr>
        <w:t xml:space="preserve">  </w:t>
      </w:r>
      <w:r>
        <w:rPr>
          <w:rFonts w:hint="eastAsia" w:ascii="黑体" w:hAnsi="黑体" w:eastAsia="黑体" w:cs="黑体"/>
          <w:sz w:val="24"/>
          <w:highlight w:val="none"/>
          <w:lang w:val="zh-CN" w:eastAsia="zh-CN"/>
        </w:rPr>
        <w:t>址：黄石大道天津路口23号海关山宾馆内办公楼</w:t>
      </w:r>
    </w:p>
    <w:p w14:paraId="19509BA7">
      <w:pPr>
        <w:widowControl/>
        <w:spacing w:line="500" w:lineRule="exact"/>
        <w:ind w:firstLine="480" w:firstLineChars="200"/>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3、联系方式</w:t>
      </w:r>
    </w:p>
    <w:p w14:paraId="378BEA14">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eastAsia="zh-CN"/>
        </w:rPr>
        <w:t>联系人：</w:t>
      </w:r>
      <w:r>
        <w:rPr>
          <w:rFonts w:hint="eastAsia" w:ascii="黑体" w:hAnsi="黑体" w:eastAsia="黑体" w:cs="黑体"/>
          <w:sz w:val="24"/>
          <w:highlight w:val="none"/>
          <w:lang w:val="en-US" w:eastAsia="zh-CN"/>
        </w:rPr>
        <w:t>黄琦</w:t>
      </w:r>
    </w:p>
    <w:p w14:paraId="5BF9FBD6">
      <w:pPr>
        <w:widowControl/>
        <w:spacing w:line="500" w:lineRule="exact"/>
        <w:ind w:firstLine="480" w:firstLineChars="200"/>
        <w:rPr>
          <w:rFonts w:hint="default" w:ascii="黑体" w:hAnsi="黑体" w:eastAsia="黑体" w:cs="黑体"/>
          <w:sz w:val="24"/>
          <w:highlight w:val="none"/>
          <w:lang w:val="en-US" w:eastAsia="zh-CN"/>
        </w:rPr>
      </w:pPr>
      <w:r>
        <w:rPr>
          <w:rFonts w:hint="eastAsia" w:ascii="黑体" w:hAnsi="黑体" w:eastAsia="黑体" w:cs="黑体"/>
          <w:sz w:val="24"/>
          <w:highlight w:val="none"/>
          <w:lang w:val="zh-CN" w:eastAsia="zh-CN"/>
        </w:rPr>
        <w:t>电  话：</w:t>
      </w:r>
      <w:r>
        <w:rPr>
          <w:rFonts w:hint="eastAsia" w:ascii="黑体" w:hAnsi="黑体" w:eastAsia="黑体" w:cs="黑体"/>
          <w:sz w:val="24"/>
          <w:highlight w:val="none"/>
          <w:lang w:val="en-US" w:eastAsia="zh-CN"/>
        </w:rPr>
        <w:t>13451041248</w:t>
      </w:r>
    </w:p>
    <w:p w14:paraId="5C99F0D9">
      <w:pPr>
        <w:rPr>
          <w:rFonts w:hint="eastAsia" w:ascii="黑体" w:hAnsi="黑体" w:eastAsia="黑体" w:cs="黑体"/>
          <w:b/>
          <w:bCs/>
          <w:color w:val="auto"/>
          <w:spacing w:val="-6"/>
          <w:sz w:val="28"/>
          <w:szCs w:val="28"/>
          <w:highlight w:val="none"/>
          <w:lang w:val="en-US" w:eastAsia="zh-CN"/>
        </w:rPr>
      </w:pPr>
      <w:r>
        <w:rPr>
          <w:rFonts w:hint="eastAsia" w:ascii="黑体" w:hAnsi="黑体" w:eastAsia="黑体" w:cs="黑体"/>
          <w:color w:val="auto"/>
          <w:spacing w:val="-6"/>
          <w:sz w:val="28"/>
          <w:szCs w:val="28"/>
          <w:highlight w:val="none"/>
        </w:rPr>
        <w:br w:type="page"/>
      </w:r>
    </w:p>
    <w:p w14:paraId="15135920">
      <w:pPr>
        <w:numPr>
          <w:ilvl w:val="0"/>
          <w:numId w:val="1"/>
        </w:numPr>
        <w:spacing w:before="91" w:line="220" w:lineRule="auto"/>
        <w:ind w:left="2905"/>
        <w:outlineLvl w:val="0"/>
        <w:rPr>
          <w:rFonts w:hint="eastAsia" w:ascii="黑体" w:hAnsi="黑体" w:eastAsia="黑体" w:cs="黑体"/>
          <w:b/>
          <w:bCs/>
          <w:color w:val="auto"/>
          <w:spacing w:val="-6"/>
          <w:sz w:val="28"/>
          <w:szCs w:val="28"/>
          <w:highlight w:val="none"/>
          <w:lang w:val="en-US" w:eastAsia="zh-CN"/>
        </w:rPr>
      </w:pPr>
      <w:r>
        <w:rPr>
          <w:rFonts w:hint="eastAsia" w:ascii="黑体" w:hAnsi="黑体" w:eastAsia="黑体" w:cs="黑体"/>
          <w:color w:val="auto"/>
          <w:spacing w:val="-6"/>
          <w:sz w:val="28"/>
          <w:szCs w:val="28"/>
          <w:highlight w:val="none"/>
        </w:rPr>
        <w:t xml:space="preserve"> </w:t>
      </w:r>
      <w:r>
        <w:rPr>
          <w:rFonts w:hint="eastAsia" w:ascii="黑体" w:hAnsi="黑体" w:eastAsia="黑体" w:cs="黑体"/>
          <w:b/>
          <w:bCs/>
          <w:color w:val="auto"/>
          <w:spacing w:val="-6"/>
          <w:sz w:val="28"/>
          <w:szCs w:val="28"/>
          <w:highlight w:val="none"/>
          <w:lang w:val="en-US" w:eastAsia="zh-CN"/>
        </w:rPr>
        <w:t>采购需求</w:t>
      </w:r>
    </w:p>
    <w:p w14:paraId="72A5AF7F">
      <w:pPr>
        <w:keepNext w:val="0"/>
        <w:keepLines w:val="0"/>
        <w:pageBreakBefore w:val="0"/>
        <w:numPr>
          <w:ilvl w:val="0"/>
          <w:numId w:val="0"/>
        </w:numPr>
        <w:wordWrap/>
        <w:overflowPunct/>
        <w:topLinePunct w:val="0"/>
        <w:bidi w:val="0"/>
        <w:spacing w:line="360" w:lineRule="auto"/>
        <w:rPr>
          <w:rFonts w:hint="eastAsia" w:ascii="黑体" w:hAnsi="黑体" w:eastAsia="黑体" w:cs="黑体"/>
          <w:b/>
          <w:bCs/>
          <w:snapToGrid w:val="0"/>
          <w:color w:val="auto"/>
          <w:kern w:val="0"/>
          <w:sz w:val="24"/>
          <w:szCs w:val="24"/>
          <w:highlight w:val="none"/>
          <w:lang w:val="en-US" w:eastAsia="zh-CN" w:bidi="ar"/>
        </w:rPr>
      </w:pPr>
      <w:r>
        <w:rPr>
          <w:rFonts w:hint="eastAsia" w:ascii="黑体" w:hAnsi="黑体" w:eastAsia="黑体" w:cs="黑体"/>
          <w:b/>
          <w:bCs/>
          <w:snapToGrid w:val="0"/>
          <w:color w:val="auto"/>
          <w:kern w:val="0"/>
          <w:sz w:val="24"/>
          <w:szCs w:val="24"/>
          <w:highlight w:val="none"/>
          <w:lang w:val="en-US" w:eastAsia="zh-CN" w:bidi="ar"/>
        </w:rPr>
        <w:t>一、项目需求</w:t>
      </w:r>
    </w:p>
    <w:tbl>
      <w:tblPr>
        <w:tblStyle w:val="10"/>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236"/>
        <w:gridCol w:w="1843"/>
        <w:gridCol w:w="2300"/>
      </w:tblGrid>
      <w:tr w14:paraId="2BA4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6" w:type="dxa"/>
            <w:noWrap w:val="0"/>
            <w:vAlign w:val="center"/>
          </w:tcPr>
          <w:p w14:paraId="51DC3AFC">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序号</w:t>
            </w:r>
          </w:p>
        </w:tc>
        <w:tc>
          <w:tcPr>
            <w:tcW w:w="3236" w:type="dxa"/>
            <w:noWrap w:val="0"/>
            <w:vAlign w:val="center"/>
          </w:tcPr>
          <w:p w14:paraId="522D5EA8">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名称</w:t>
            </w:r>
          </w:p>
        </w:tc>
        <w:tc>
          <w:tcPr>
            <w:tcW w:w="1843" w:type="dxa"/>
            <w:noWrap w:val="0"/>
            <w:vAlign w:val="center"/>
          </w:tcPr>
          <w:p w14:paraId="040EC045">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数量</w:t>
            </w:r>
          </w:p>
        </w:tc>
        <w:tc>
          <w:tcPr>
            <w:tcW w:w="2300" w:type="dxa"/>
            <w:noWrap w:val="0"/>
            <w:vAlign w:val="center"/>
          </w:tcPr>
          <w:p w14:paraId="47020623">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安装地点</w:t>
            </w:r>
          </w:p>
        </w:tc>
      </w:tr>
      <w:tr w14:paraId="54C4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6" w:type="dxa"/>
            <w:noWrap w:val="0"/>
            <w:vAlign w:val="center"/>
          </w:tcPr>
          <w:p w14:paraId="43930F66">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vertAlign w:val="baseline"/>
                <w:lang w:val="en-US" w:eastAsia="zh-CN"/>
              </w:rPr>
              <w:t>1</w:t>
            </w:r>
          </w:p>
        </w:tc>
        <w:tc>
          <w:tcPr>
            <w:tcW w:w="3236" w:type="dxa"/>
            <w:noWrap w:val="0"/>
            <w:vAlign w:val="center"/>
          </w:tcPr>
          <w:p w14:paraId="1966D3A9">
            <w:pPr>
              <w:keepNext w:val="0"/>
              <w:keepLines w:val="0"/>
              <w:pageBreakBefore w:val="0"/>
              <w:widowControl w:val="0"/>
              <w:wordWrap/>
              <w:overflowPunct/>
              <w:topLinePunct w:val="0"/>
              <w:bidi w:val="0"/>
              <w:spacing w:before="0" w:after="0" w:line="360" w:lineRule="auto"/>
              <w:ind w:left="0" w:firstLine="200" w:firstLineChars="0"/>
              <w:jc w:val="center"/>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自动体外除颤仪（AED）</w:t>
            </w:r>
          </w:p>
        </w:tc>
        <w:tc>
          <w:tcPr>
            <w:tcW w:w="1843" w:type="dxa"/>
            <w:noWrap w:val="0"/>
            <w:vAlign w:val="center"/>
          </w:tcPr>
          <w:p w14:paraId="689C6CDC">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不少于100台</w:t>
            </w:r>
          </w:p>
        </w:tc>
        <w:tc>
          <w:tcPr>
            <w:tcW w:w="2300" w:type="dxa"/>
            <w:noWrap w:val="0"/>
            <w:vAlign w:val="center"/>
          </w:tcPr>
          <w:p w14:paraId="586803D9">
            <w:pPr>
              <w:keepNext w:val="0"/>
              <w:keepLines w:val="0"/>
              <w:pageBreakBefore w:val="0"/>
              <w:widowControl w:val="0"/>
              <w:kinsoku/>
              <w:wordWrap/>
              <w:overflowPunct/>
              <w:topLinePunct w:val="0"/>
              <w:autoSpaceDE/>
              <w:autoSpaceDN/>
              <w:bidi w:val="0"/>
              <w:adjustRightInd/>
              <w:snapToGrid/>
              <w:spacing w:before="0" w:after="0" w:line="360" w:lineRule="auto"/>
              <w:ind w:left="0" w:firstLine="0"/>
              <w:jc w:val="center"/>
              <w:textAlignment w:val="auto"/>
              <w:rPr>
                <w:rFonts w:hint="eastAsia" w:ascii="黑体" w:hAnsi="黑体" w:eastAsia="黑体" w:cs="黑体"/>
                <w:b w:val="0"/>
                <w:bCs w:val="0"/>
                <w:color w:val="auto"/>
                <w:sz w:val="24"/>
                <w:szCs w:val="24"/>
                <w:highlight w:val="none"/>
                <w:vertAlign w:val="baseline"/>
                <w:lang w:val="en-US" w:eastAsia="zh-CN"/>
              </w:rPr>
            </w:pPr>
            <w:r>
              <w:rPr>
                <w:rFonts w:hint="eastAsia" w:ascii="黑体" w:hAnsi="黑体" w:eastAsia="黑体" w:cs="黑体"/>
                <w:b w:val="0"/>
                <w:bCs w:val="0"/>
                <w:color w:val="auto"/>
                <w:sz w:val="24"/>
                <w:szCs w:val="24"/>
                <w:highlight w:val="none"/>
                <w:vertAlign w:val="baseline"/>
                <w:lang w:val="en-US" w:eastAsia="zh-CN"/>
              </w:rPr>
              <w:t>采购人确定的地点</w:t>
            </w:r>
          </w:p>
        </w:tc>
      </w:tr>
    </w:tbl>
    <w:p w14:paraId="373151CC">
      <w:pPr>
        <w:keepNext w:val="0"/>
        <w:keepLines w:val="0"/>
        <w:pageBreakBefore w:val="0"/>
        <w:numPr>
          <w:ilvl w:val="0"/>
          <w:numId w:val="0"/>
        </w:numPr>
        <w:wordWrap/>
        <w:overflowPunct/>
        <w:topLinePunct w:val="0"/>
        <w:bidi w:val="0"/>
        <w:spacing w:line="360" w:lineRule="auto"/>
        <w:rPr>
          <w:rFonts w:hint="eastAsia" w:ascii="黑体" w:hAnsi="黑体" w:eastAsia="黑体" w:cs="黑体"/>
          <w:color w:val="auto"/>
          <w:sz w:val="24"/>
          <w:szCs w:val="24"/>
          <w:highlight w:val="none"/>
          <w:lang w:val="en-US" w:eastAsia="zh-CN"/>
        </w:rPr>
      </w:pPr>
    </w:p>
    <w:p w14:paraId="54752ADD">
      <w:pPr>
        <w:keepNext w:val="0"/>
        <w:keepLines w:val="0"/>
        <w:pageBreakBefore w:val="0"/>
        <w:numPr>
          <w:ilvl w:val="0"/>
          <w:numId w:val="0"/>
        </w:numPr>
        <w:wordWrap/>
        <w:overflowPunct/>
        <w:topLinePunct w:val="0"/>
        <w:bidi w:val="0"/>
        <w:spacing w:line="360" w:lineRule="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二</w:t>
      </w:r>
      <w:r>
        <w:rPr>
          <w:rFonts w:hint="eastAsia" w:ascii="黑体" w:hAnsi="黑体" w:eastAsia="黑体" w:cs="黑体"/>
          <w:b/>
          <w:bCs/>
          <w:snapToGrid w:val="0"/>
          <w:color w:val="auto"/>
          <w:kern w:val="0"/>
          <w:sz w:val="24"/>
          <w:szCs w:val="24"/>
          <w:highlight w:val="none"/>
          <w:lang w:val="en-US" w:eastAsia="zh-CN" w:bidi="ar"/>
        </w:rPr>
        <w:t xml:space="preserve">、技术参数 </w:t>
      </w:r>
    </w:p>
    <w:p w14:paraId="15817F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1.物理规格/性能</w:t>
      </w:r>
    </w:p>
    <w:p w14:paraId="06A289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1.1整机重量≤2.8KG（含电池和电极片）。</w:t>
      </w:r>
    </w:p>
    <w:p w14:paraId="5C904C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1.2抗冲击/跌落性能：在任意角度从≥1.5米高度跌落后仍能正常使用。（提供说明书或检测报告等证明材料）</w:t>
      </w:r>
    </w:p>
    <w:p w14:paraId="6C339E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1.3防尘防水级别：≥IP55。</w:t>
      </w:r>
    </w:p>
    <w:p w14:paraId="3656569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1.4工作温度范围： -5℃～50℃；工作湿度范围：5%～95%。</w:t>
      </w:r>
    </w:p>
    <w:p w14:paraId="085B86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1.5 设备使用寿命10年。（提供说明书或检测报告等证明材料）</w:t>
      </w:r>
    </w:p>
    <w:p w14:paraId="4D3BDB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1.6 设备具有便携把手。</w:t>
      </w:r>
    </w:p>
    <w:p w14:paraId="5B1B43A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2.除颤性能</w:t>
      </w:r>
    </w:p>
    <w:p w14:paraId="0D2168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2.1采用双相波技术，波形参数可根据病人阻抗进行自动补偿。</w:t>
      </w:r>
    </w:p>
    <w:p w14:paraId="74929A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2.2输出能量：成人模式最大输出能量≤360J（提供说明书等证明材料）</w:t>
      </w:r>
    </w:p>
    <w:p w14:paraId="35E20C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2.3 可一键快速切换成人/儿童患者类型。</w:t>
      </w:r>
    </w:p>
    <w:p w14:paraId="4410EF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▲2.4开始分析到设备200J放电准备完成的时间&lt;8秒。（提供说明书或检测报告等证明材料）</w:t>
      </w:r>
    </w:p>
    <w:p w14:paraId="1FE34B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▲2.5 伪信号过滤功能：为预防起搏器干扰避免造成造成误判，设备有心脏起搏器信号识别且过滤功能；可过滤晃动干扰信号。（提供说明书等证明材料加盖生产厂家公章）</w:t>
      </w:r>
    </w:p>
    <w:p w14:paraId="6E498E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3.除颤电极片</w:t>
      </w:r>
    </w:p>
    <w:p w14:paraId="2DB0EC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3.1电极片有效期：≥30个月。</w:t>
      </w:r>
    </w:p>
    <w:p w14:paraId="4186BD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3.2 具有电极片粘贴方式示意图，具有电极片正确粘贴检测及提示功能。</w:t>
      </w:r>
    </w:p>
    <w:p w14:paraId="710387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4.电池</w:t>
      </w:r>
    </w:p>
    <w:p w14:paraId="307C5F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4.1 单块电池有效期≥5年。</w:t>
      </w:r>
    </w:p>
    <w:p w14:paraId="49D5CB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4.2 满电量状态下，可支持200J放电≧200次。（提供说明书或检测报告等证明材料）</w:t>
      </w:r>
    </w:p>
    <w:p w14:paraId="4B35F6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4.3可检测电池低电量并给出报警提示，低电量报警后至少可工作30分钟或9次200J除颤充放电。（提供说明书或检测报告等证明材料）</w:t>
      </w:r>
    </w:p>
    <w:p w14:paraId="06622FA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5.操作</w:t>
      </w:r>
    </w:p>
    <w:p w14:paraId="03A25E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▲5.1设备提供显示屏，支持动画指导用户执行急救操作。（提供说明书等证明材料）</w:t>
      </w:r>
    </w:p>
    <w:p w14:paraId="00F580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5.2 操作方式：设备支持一键开机或翻盖开机。（提供说明书或检测报告等证明材料）</w:t>
      </w:r>
    </w:p>
    <w:p w14:paraId="360798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▲5.3设备能够根据环境光强度自动调节屏幕显示亮度，适应强光环境下使用。（提供说明书等证明材料加盖生产厂家公章）</w:t>
      </w:r>
    </w:p>
    <w:p w14:paraId="0BA004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5.4提供中英文双语播报，可一键快速切换中英文。（提供说明书或检测报告等证明材料）</w:t>
      </w:r>
    </w:p>
    <w:p w14:paraId="10F158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6.数据传输和存储</w:t>
      </w:r>
    </w:p>
    <w:p w14:paraId="1C459C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▲6.1主机内置4G或5G无线传输功能，可将自检数据和抢救数据通过无线传输到管理平台或现场导出（提供说明书或设备实物图等证明材料）</w:t>
      </w:r>
    </w:p>
    <w:p w14:paraId="42570E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6.2设备可存储至少1000份自检报告。</w:t>
      </w:r>
    </w:p>
    <w:p w14:paraId="146DC9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6.3具备录音功能，可保存至少60分钟抢救现场录音。</w:t>
      </w:r>
    </w:p>
    <w:p w14:paraId="2D3310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6.4数据存储：可存储ECG波形数据、事件数据、录音数据、急救数据（须有急救时间、CPR 持续时间、放电次数等要素）、等。</w:t>
      </w:r>
    </w:p>
    <w:p w14:paraId="21E74D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7.设备维护与自检</w:t>
      </w:r>
    </w:p>
    <w:p w14:paraId="72701E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7.1设备具有用户自检和设备自检功能，支持每日、每周、每月设备自检和开机自检。</w:t>
      </w:r>
    </w:p>
    <w:p w14:paraId="3A50F1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▲7.2 状态指示：所投AED设备具有状态指示灯，可通过颜色或文字或形状进行有效识别设备状态，同时具有语音及远程管理系统的提示，便于后期维护。（提供说明书等证明材料）</w:t>
      </w:r>
    </w:p>
    <w:p w14:paraId="767D6D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8.AED智能管理系统</w:t>
      </w:r>
    </w:p>
    <w:p w14:paraId="0C1F51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8.1物联网系统信息安全性：具备三级信息系统安全等级保护备案证明及信息安全等级保护评测结果通知书。</w:t>
      </w:r>
    </w:p>
    <w:p w14:paraId="7C9B94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8.2系统功能：支持对所安装的AED信息维护、性能状况实时监控等功能，包括：AED设备管理、管理人员管理、急救人员管理、急救实时反馈等功能。系统平台支持地图显示模式，通过 AED地图可查看设备总体布防状态。</w:t>
      </w:r>
    </w:p>
    <w:p w14:paraId="34453C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8.3监控功能：支持对所安装的AED进行全方面监控（包括但不限于自检、定位、报警、预警、电子围栏等）。</w:t>
      </w:r>
    </w:p>
    <w:p w14:paraId="22388C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8.4系统反馈功能：设备运行状态显示，根据自检结果，正常/故障显示设备状态，故障时发出报警信息并发送手机短信到设备管理者；具有急救事件实时反馈功能，设备一旦开机用于抢救病人即刻反馈；急救事件发生时，系统发送信息至设备绑定管理者或急救员，并自动显示所发生地位置信息，AED抢救患者过程生成的心电数据可通过无线传输至管理系统，或可现场导出数据。</w:t>
      </w:r>
    </w:p>
    <w:p w14:paraId="51156187">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snapToGrid w:val="0"/>
          <w:color w:val="auto"/>
          <w:kern w:val="0"/>
          <w:sz w:val="24"/>
          <w:szCs w:val="24"/>
          <w:highlight w:val="none"/>
          <w:lang w:val="en-US" w:eastAsia="zh-CN" w:bidi="ar"/>
        </w:rPr>
        <w:t xml:space="preserve">三、时间要求 </w:t>
      </w:r>
    </w:p>
    <w:p w14:paraId="53D9F13E">
      <w:pPr>
        <w:keepNext w:val="0"/>
        <w:keepLines w:val="0"/>
        <w:pageBreakBefore w:val="0"/>
        <w:widowControl/>
        <w:suppressLineNumbers w:val="0"/>
        <w:wordWrap/>
        <w:overflowPunct/>
        <w:topLinePunct w:val="0"/>
        <w:bidi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合同签订后30个日历天内完成供货、安装及调试。</w:t>
      </w:r>
    </w:p>
    <w:p w14:paraId="22B6B516">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b/>
          <w:bCs/>
          <w:snapToGrid w:val="0"/>
          <w:color w:val="auto"/>
          <w:kern w:val="0"/>
          <w:sz w:val="24"/>
          <w:szCs w:val="24"/>
          <w:highlight w:val="none"/>
          <w:lang w:val="en-US" w:eastAsia="zh-CN" w:bidi="ar"/>
        </w:rPr>
      </w:pPr>
      <w:r>
        <w:rPr>
          <w:rFonts w:hint="eastAsia" w:ascii="黑体" w:hAnsi="黑体" w:eastAsia="黑体" w:cs="黑体"/>
          <w:b/>
          <w:bCs/>
          <w:snapToGrid w:val="0"/>
          <w:color w:val="auto"/>
          <w:kern w:val="0"/>
          <w:sz w:val="24"/>
          <w:szCs w:val="24"/>
          <w:highlight w:val="none"/>
          <w:lang w:val="en-US" w:eastAsia="zh-CN" w:bidi="ar"/>
        </w:rPr>
        <w:t>四、质量保证措施</w:t>
      </w:r>
    </w:p>
    <w:p w14:paraId="20B228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1、成交供应商提供的设备产品应是原装正品，具有出厂合格证或国家鉴定合格证，且为该品牌设备的最新型号，出厂日期距交货日期应不超过3个月。</w:t>
      </w:r>
    </w:p>
    <w:p w14:paraId="4F7CDE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2、提供的设备产品技术数据应与供应商响应文件所列技术数据一致，符合国家有关技术规范和技术标准。如有不符，采购人可退货。</w:t>
      </w:r>
    </w:p>
    <w:p w14:paraId="3D55A03D">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snapToGrid w:val="0"/>
          <w:color w:val="auto"/>
          <w:kern w:val="0"/>
          <w:sz w:val="24"/>
          <w:szCs w:val="24"/>
          <w:highlight w:val="none"/>
          <w:lang w:val="en-US" w:eastAsia="zh-CN" w:bidi="ar"/>
        </w:rPr>
        <w:t>五、设备运输、安装及调试</w:t>
      </w:r>
    </w:p>
    <w:p w14:paraId="651055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1、安装调试前，产品运输、保管责任由成交供应商承担。 </w:t>
      </w:r>
    </w:p>
    <w:p w14:paraId="64834D0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2、安装调试：</w:t>
      </w:r>
    </w:p>
    <w:p w14:paraId="3B41F38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（1）成交供应商于合同签订后 1 个星期内开始送达产品并安装调试，可分批供货，30天内全部安装调试完毕。 </w:t>
      </w:r>
    </w:p>
    <w:p w14:paraId="0283B7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（2）产品安装调试由成交供应商负责，采购人予以协助。安装调试期间意外风险责任由成交供应商承担。</w:t>
      </w:r>
    </w:p>
    <w:p w14:paraId="1C4E412C">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snapToGrid w:val="0"/>
          <w:color w:val="auto"/>
          <w:kern w:val="0"/>
          <w:sz w:val="24"/>
          <w:szCs w:val="24"/>
          <w:highlight w:val="none"/>
          <w:lang w:val="en-US" w:eastAsia="zh-CN" w:bidi="ar"/>
        </w:rPr>
        <w:t xml:space="preserve">六、验收及售后服务要求 </w:t>
      </w:r>
    </w:p>
    <w:p w14:paraId="686FB8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1、设备到现场后，由成交供应商和采购人共同验收，由于运输过程中引起的数量短缺、货物损环等问题均由成交供应商负责调换处理。 </w:t>
      </w:r>
    </w:p>
    <w:p w14:paraId="15887A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2、验收标准:以本项目磋商文件所列设备数量和技术指标为准。供应商提供的设备须是全新设备，设备无损坏并通过采购人的试运行测试；并提供磋商文件要求的相关产品检测报告。 </w:t>
      </w:r>
    </w:p>
    <w:p w14:paraId="7DB011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3、成交供应商须免费提与合同签订设备台数相同数量的立柜和8台与所提供设备同品牌同型号的培训用机，并提供现场技术培训，保证设备设置点使用维护人员熟练掌握功能操作及日常维护保养。 </w:t>
      </w:r>
    </w:p>
    <w:p w14:paraId="2721BF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4、售后服务要求: </w:t>
      </w:r>
    </w:p>
    <w:p w14:paraId="5051CE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bookmarkStart w:id="13" w:name="_GoBack"/>
      <w:r>
        <w:rPr>
          <w:rFonts w:hint="eastAsia" w:ascii="黑体" w:hAnsi="黑体" w:eastAsia="黑体" w:cs="黑体"/>
          <w:snapToGrid w:val="0"/>
          <w:color w:val="auto"/>
          <w:kern w:val="0"/>
          <w:sz w:val="24"/>
          <w:szCs w:val="24"/>
          <w:highlight w:val="none"/>
          <w:lang w:val="en-US" w:eastAsia="zh-CN" w:bidi="ar"/>
        </w:rPr>
        <w:t xml:space="preserve">（1）设备5年免费质保期，期间每年维护或巡检一次，全年提供 24 小时免费上门服务及售后技术支持；期间设备质量问题，人为损坏、丢失，24 小时内维修完毕或提供备用机。 </w:t>
      </w:r>
    </w:p>
    <w:p w14:paraId="33B5D4D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（2）5 年免费质保期从验收合格后开始计算。因设计或安装原因而造成的故 障，质保期从故障修复之日起重新开始计算。 </w:t>
      </w:r>
    </w:p>
    <w:p w14:paraId="4AB88D2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 xml:space="preserve">（3）成交供应商在5年免费质保期内，免费提供不多于 2 次的设备安装地点变更服务。 </w:t>
      </w:r>
    </w:p>
    <w:p w14:paraId="4F870CF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 xml:space="preserve">（4）5年免费质保期期结束后的每台年综合维护费标准，作为后续服务签约参考依据。 </w:t>
      </w:r>
    </w:p>
    <w:p w14:paraId="228E5271">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所有设备5年免费质保期结束前一个月内，无论该设备之前是否更换过电池都再免费更换设备电池一次。</w:t>
      </w:r>
    </w:p>
    <w:p w14:paraId="729DDCE1">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黑体" w:hAnsi="黑体" w:eastAsia="黑体" w:cs="黑体"/>
          <w:snapToGrid w:val="0"/>
          <w:color w:val="auto"/>
          <w:kern w:val="0"/>
          <w:sz w:val="24"/>
          <w:szCs w:val="24"/>
          <w:highlight w:val="none"/>
          <w:lang w:val="en-US" w:eastAsia="zh-CN" w:bidi="ar"/>
        </w:rPr>
      </w:pPr>
      <w:r>
        <w:rPr>
          <w:rFonts w:hint="eastAsia" w:ascii="黑体" w:hAnsi="黑体" w:eastAsia="黑体" w:cs="黑体"/>
          <w:snapToGrid w:val="0"/>
          <w:color w:val="auto"/>
          <w:kern w:val="0"/>
          <w:sz w:val="24"/>
          <w:szCs w:val="24"/>
          <w:highlight w:val="none"/>
          <w:lang w:val="en-US" w:eastAsia="zh-CN" w:bidi="ar"/>
        </w:rPr>
        <w:t>所有设备十年使用寿命到期前，每三年更换一次电极片，每台设备免费更换两次。</w:t>
      </w:r>
    </w:p>
    <w:bookmarkEnd w:id="13"/>
    <w:p w14:paraId="15E90E95">
      <w:pPr>
        <w:keepNext w:val="0"/>
        <w:keepLines w:val="0"/>
        <w:pageBreakBefore w:val="0"/>
        <w:widowControl/>
        <w:suppressLineNumbers w:val="0"/>
        <w:wordWrap/>
        <w:overflowPunct/>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b/>
          <w:bCs/>
          <w:snapToGrid w:val="0"/>
          <w:color w:val="auto"/>
          <w:kern w:val="0"/>
          <w:sz w:val="24"/>
          <w:szCs w:val="24"/>
          <w:highlight w:val="none"/>
          <w:lang w:val="en-US" w:eastAsia="zh-CN" w:bidi="ar"/>
        </w:rPr>
        <w:t xml:space="preserve">七、付款方式 </w:t>
      </w:r>
    </w:p>
    <w:p w14:paraId="5AD81AED">
      <w:pPr>
        <w:keepNext w:val="0"/>
        <w:keepLines w:val="0"/>
        <w:pageBreakBefore w:val="0"/>
        <w:widowControl/>
        <w:suppressLineNumbers w:val="0"/>
        <w:wordWrap/>
        <w:overflowPunct/>
        <w:topLinePunct w:val="0"/>
        <w:bidi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snapToGrid w:val="0"/>
          <w:color w:val="auto"/>
          <w:kern w:val="0"/>
          <w:sz w:val="24"/>
          <w:szCs w:val="24"/>
          <w:highlight w:val="none"/>
          <w:lang w:val="en-US" w:eastAsia="zh-CN" w:bidi="ar"/>
        </w:rPr>
        <w:t>采购人与中标（成交）供应商签订合同时自行约定。</w:t>
      </w:r>
    </w:p>
    <w:p w14:paraId="64F567EA">
      <w:pPr>
        <w:numPr>
          <w:ilvl w:val="0"/>
          <w:numId w:val="0"/>
        </w:numPr>
        <w:rPr>
          <w:rFonts w:hint="eastAsia"/>
          <w:color w:val="auto"/>
          <w:highlight w:val="none"/>
          <w:lang w:val="en-US" w:eastAsia="zh-CN"/>
        </w:rPr>
      </w:pPr>
      <w:r>
        <w:rPr>
          <w:rFonts w:hint="eastAsia"/>
          <w:color w:val="auto"/>
          <w:highlight w:val="none"/>
          <w:lang w:val="en-US" w:eastAsia="zh-CN"/>
        </w:rPr>
        <w:br w:type="page"/>
      </w:r>
    </w:p>
    <w:p w14:paraId="3C13C9CD">
      <w:pPr>
        <w:numPr>
          <w:ilvl w:val="0"/>
          <w:numId w:val="1"/>
        </w:numPr>
        <w:spacing w:before="206" w:line="219" w:lineRule="auto"/>
        <w:ind w:left="2905" w:leftChars="0" w:firstLine="0" w:firstLineChars="0"/>
        <w:outlineLvl w:val="0"/>
        <w:rPr>
          <w:rFonts w:hint="eastAsia" w:ascii="黑体" w:hAnsi="黑体" w:eastAsia="黑体" w:cs="黑体"/>
          <w:b/>
          <w:bCs/>
          <w:color w:val="auto"/>
          <w:spacing w:val="-6"/>
          <w:sz w:val="28"/>
          <w:szCs w:val="28"/>
          <w:highlight w:val="none"/>
        </w:rPr>
      </w:pPr>
      <w:r>
        <w:rPr>
          <w:rFonts w:hint="eastAsia" w:ascii="黑体" w:hAnsi="黑体" w:eastAsia="黑体" w:cs="黑体"/>
          <w:b/>
          <w:bCs/>
          <w:color w:val="auto"/>
          <w:spacing w:val="-6"/>
          <w:sz w:val="28"/>
          <w:szCs w:val="28"/>
          <w:highlight w:val="none"/>
          <w:lang w:val="en-US" w:eastAsia="zh-CN"/>
        </w:rPr>
        <w:t>供应商资格审查</w:t>
      </w:r>
      <w:r>
        <w:rPr>
          <w:rFonts w:hint="eastAsia" w:ascii="黑体" w:hAnsi="黑体" w:eastAsia="黑体" w:cs="黑体"/>
          <w:b/>
          <w:bCs/>
          <w:color w:val="auto"/>
          <w:spacing w:val="-6"/>
          <w:sz w:val="28"/>
          <w:szCs w:val="28"/>
          <w:highlight w:val="none"/>
        </w:rPr>
        <w:t>标准</w:t>
      </w:r>
    </w:p>
    <w:p w14:paraId="51D9C6FB">
      <w:pPr>
        <w:spacing w:line="500" w:lineRule="exact"/>
        <w:ind w:firstLine="480" w:firstLineChars="200"/>
        <w:rPr>
          <w:rFonts w:hint="eastAsia" w:ascii="黑体" w:hAnsi="黑体" w:eastAsia="黑体" w:cs="黑体"/>
          <w:color w:val="auto"/>
          <w:sz w:val="24"/>
          <w:highlight w:val="none"/>
          <w:shd w:val="clear" w:color="auto" w:fill="FFFFFF"/>
        </w:rPr>
      </w:pPr>
      <w:r>
        <w:rPr>
          <w:rFonts w:hint="eastAsia" w:ascii="黑体" w:hAnsi="黑体" w:eastAsia="黑体" w:cs="黑体"/>
          <w:color w:val="auto"/>
          <w:sz w:val="24"/>
          <w:highlight w:val="none"/>
          <w:shd w:val="clear" w:color="auto" w:fill="FFFFFF"/>
        </w:rPr>
        <w:t>根据《政府采购法》、《政府采购法实施条例》、《政府采购货物和服务招标投标管理办法》、《政府采购非招标采购方式管理办法》等相关法律法规确定以下资格审查标准及评审方法。</w:t>
      </w:r>
    </w:p>
    <w:p w14:paraId="4C8ABA83">
      <w:pPr>
        <w:widowControl/>
        <w:spacing w:line="500" w:lineRule="exac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一、评审标准</w:t>
      </w:r>
    </w:p>
    <w:tbl>
      <w:tblPr>
        <w:tblStyle w:val="9"/>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52"/>
        <w:gridCol w:w="2942"/>
        <w:gridCol w:w="4637"/>
      </w:tblGrid>
      <w:tr w14:paraId="6900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33"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D8D8D8"/>
            <w:vAlign w:val="center"/>
          </w:tcPr>
          <w:p w14:paraId="3A028C9E">
            <w:pPr>
              <w:pStyle w:val="15"/>
              <w:jc w:val="center"/>
              <w:rPr>
                <w:rFonts w:hint="eastAsia" w:ascii="黑体" w:hAnsi="黑体" w:eastAsia="黑体" w:cs="黑体"/>
                <w:b/>
                <w:color w:val="auto"/>
                <w:sz w:val="24"/>
                <w:highlight w:val="none"/>
              </w:rPr>
            </w:pPr>
            <w:bookmarkStart w:id="8" w:name="_Hlk161711060"/>
            <w:r>
              <w:rPr>
                <w:rFonts w:hint="eastAsia" w:ascii="黑体" w:hAnsi="黑体" w:eastAsia="黑体" w:cs="黑体"/>
                <w:b/>
                <w:color w:val="auto"/>
                <w:highlight w:val="none"/>
              </w:rPr>
              <w:t>序号</w:t>
            </w:r>
          </w:p>
        </w:tc>
        <w:tc>
          <w:tcPr>
            <w:tcW w:w="1744" w:type="pct"/>
            <w:tcBorders>
              <w:top w:val="single" w:color="auto" w:sz="4" w:space="0"/>
              <w:left w:val="single" w:color="auto" w:sz="4" w:space="0"/>
              <w:bottom w:val="single" w:color="auto" w:sz="4" w:space="0"/>
              <w:right w:val="single" w:color="auto" w:sz="4" w:space="0"/>
            </w:tcBorders>
            <w:shd w:val="clear" w:color="auto" w:fill="D8D8D8"/>
            <w:vAlign w:val="center"/>
          </w:tcPr>
          <w:p w14:paraId="752F56EA">
            <w:pPr>
              <w:pStyle w:val="15"/>
              <w:jc w:val="center"/>
              <w:rPr>
                <w:rFonts w:hint="eastAsia" w:ascii="黑体" w:hAnsi="黑体" w:eastAsia="黑体" w:cs="黑体"/>
                <w:b/>
                <w:color w:val="auto"/>
                <w:highlight w:val="none"/>
              </w:rPr>
            </w:pPr>
            <w:r>
              <w:rPr>
                <w:rFonts w:hint="eastAsia" w:ascii="黑体" w:hAnsi="黑体" w:eastAsia="黑体" w:cs="黑体"/>
                <w:b/>
                <w:color w:val="auto"/>
                <w:highlight w:val="none"/>
              </w:rPr>
              <w:t>资格要求</w:t>
            </w:r>
          </w:p>
        </w:tc>
        <w:tc>
          <w:tcPr>
            <w:tcW w:w="2749" w:type="pct"/>
            <w:tcBorders>
              <w:top w:val="single" w:color="auto" w:sz="4" w:space="0"/>
              <w:left w:val="single" w:color="auto" w:sz="4" w:space="0"/>
              <w:bottom w:val="single" w:color="auto" w:sz="4" w:space="0"/>
              <w:right w:val="single" w:color="auto" w:sz="4" w:space="0"/>
            </w:tcBorders>
            <w:shd w:val="clear" w:color="auto" w:fill="D8D8D8"/>
            <w:vAlign w:val="center"/>
          </w:tcPr>
          <w:p w14:paraId="7426C43F">
            <w:pPr>
              <w:pStyle w:val="15"/>
              <w:jc w:val="center"/>
              <w:rPr>
                <w:rFonts w:hint="eastAsia" w:ascii="黑体" w:hAnsi="黑体" w:eastAsia="黑体" w:cs="黑体"/>
                <w:b/>
                <w:color w:val="auto"/>
                <w:highlight w:val="none"/>
              </w:rPr>
            </w:pPr>
            <w:r>
              <w:rPr>
                <w:rFonts w:hint="eastAsia" w:ascii="黑体" w:hAnsi="黑体" w:eastAsia="黑体" w:cs="黑体"/>
                <w:b/>
                <w:color w:val="auto"/>
                <w:highlight w:val="none"/>
              </w:rPr>
              <w:t>审查内容</w:t>
            </w:r>
          </w:p>
        </w:tc>
      </w:tr>
      <w:tr w14:paraId="0076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5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9DD49B">
            <w:pPr>
              <w:pStyle w:val="15"/>
              <w:numPr>
                <w:ilvl w:val="0"/>
                <w:numId w:val="3"/>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1B86017B">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具有独立承担民事责任的能力</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1EC22026">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提供</w:t>
            </w:r>
            <w:r>
              <w:rPr>
                <w:rFonts w:hint="eastAsia" w:ascii="黑体" w:hAnsi="黑体" w:eastAsia="黑体" w:cs="黑体"/>
                <w:color w:val="auto"/>
                <w:highlight w:val="none"/>
              </w:rPr>
              <w:t>法人或者其他组织的营业执照等证明文件，自然人的身份证明</w:t>
            </w:r>
            <w:r>
              <w:rPr>
                <w:rFonts w:hint="eastAsia" w:ascii="黑体" w:hAnsi="黑体" w:eastAsia="黑体" w:cs="黑体"/>
                <w:color w:val="auto"/>
                <w:highlight w:val="none"/>
                <w:lang w:eastAsia="zh-CN"/>
              </w:rPr>
              <w:t>。</w:t>
            </w:r>
          </w:p>
        </w:tc>
      </w:tr>
      <w:tr w14:paraId="5B3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A8E1CA">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61BB14ED">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具有良好的商业信誉和健全的财务会计制度</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4E7AEF75">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33D6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AC18DC">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0AFE3C2C">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具有履行合同所必需的设备和专业技术能力</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309A7D0B">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4AFC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668D5">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693EE88E">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有依法缴纳税收和社会保障资金的良好记录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676F68EC">
            <w:pPr>
              <w:pStyle w:val="15"/>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4956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21"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16AB0">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49AC716D">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参加政府采购活动前三年内，在经营活动中没有重大违法记录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09D4C134">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75CE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7706C">
            <w:pPr>
              <w:widowControl/>
              <w:spacing w:line="240" w:lineRule="auto"/>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5CC0440B">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法律、行政法规规定的其他条件</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68CD0D74">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2DA4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2F250DE">
            <w:pPr>
              <w:pStyle w:val="15"/>
              <w:numPr>
                <w:ilvl w:val="0"/>
                <w:numId w:val="3"/>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6C6B1F09">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未被“信用中国”网站列入失信被执行人名单、重大税收违法失信主体名单、政府采购严重违法失信行为记录名单</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7E3C558E">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提供网上查询截图</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以响应文件递交截止日在“信用中国”网站（www.creditchina.gov.cn）查询的</w:t>
            </w:r>
            <w:r>
              <w:rPr>
                <w:rFonts w:hint="eastAsia" w:ascii="黑体" w:hAnsi="黑体" w:eastAsia="黑体" w:cs="黑体"/>
                <w:color w:val="auto"/>
                <w:highlight w:val="none"/>
                <w:lang w:val="en-US" w:eastAsia="zh-CN"/>
              </w:rPr>
              <w:t>“列入失信被执行人名单、重大税收违法失信主体名单、政府采购严重违法失信行为记录名单”</w:t>
            </w:r>
            <w:r>
              <w:rPr>
                <w:rFonts w:hint="eastAsia" w:ascii="黑体" w:hAnsi="黑体" w:eastAsia="黑体" w:cs="黑体"/>
                <w:color w:val="auto"/>
                <w:highlight w:val="none"/>
              </w:rPr>
              <w:t>（供应商自行查询并提供截图，未提供的或现场查询已被列入以上名单的其投标无效）。</w:t>
            </w:r>
          </w:p>
        </w:tc>
      </w:tr>
      <w:tr w14:paraId="5976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001B356B">
            <w:pPr>
              <w:pStyle w:val="15"/>
              <w:numPr>
                <w:ilvl w:val="0"/>
                <w:numId w:val="3"/>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3EF415F1">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rPr>
              <w:t>单位负责人为同一人或者存在直接控股、管理关系的不同供应商，不得参加本项目同一合同项下的政府采购活动</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4A5CE723">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bl>
    <w:p w14:paraId="72126EAE">
      <w:pPr>
        <w:pStyle w:val="15"/>
        <w:jc w:val="center"/>
        <w:rPr>
          <w:rFonts w:hint="eastAsia" w:ascii="黑体" w:hAnsi="黑体" w:eastAsia="黑体" w:cs="黑体"/>
          <w:color w:val="auto"/>
          <w:highlight w:val="none"/>
        </w:rPr>
        <w:sectPr>
          <w:headerReference r:id="rId5" w:type="default"/>
          <w:footerReference r:id="rId6" w:type="default"/>
          <w:pgSz w:w="11907" w:h="16841"/>
          <w:pgMar w:top="1303" w:right="1417" w:bottom="1305" w:left="1417" w:header="950" w:footer="1140" w:gutter="0"/>
          <w:pgNumType w:fmt="decimal"/>
          <w:cols w:space="720" w:num="1"/>
        </w:sectPr>
      </w:pPr>
    </w:p>
    <w:tbl>
      <w:tblPr>
        <w:tblStyle w:val="9"/>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52"/>
        <w:gridCol w:w="2942"/>
        <w:gridCol w:w="4637"/>
      </w:tblGrid>
      <w:tr w14:paraId="4098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37"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724B49E9">
            <w:pPr>
              <w:pStyle w:val="15"/>
              <w:numPr>
                <w:ilvl w:val="0"/>
                <w:numId w:val="3"/>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1435353E">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为本采购项目提供整体设计、规范编制或者项目管理、监理、检测等服务的，不得再参加本项目的其他招标采购活动</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49981ADC">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提供</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关于资格条件的有关承诺及声明</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，或提供相应证明材料。</w:t>
            </w:r>
          </w:p>
        </w:tc>
      </w:tr>
      <w:tr w14:paraId="2C2B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10" w:hRule="atLeast"/>
          <w:jc w:val="center"/>
        </w:trPr>
        <w:tc>
          <w:tcPr>
            <w:tcW w:w="505" w:type="pct"/>
            <w:tcBorders>
              <w:top w:val="single" w:color="auto" w:sz="4" w:space="0"/>
              <w:left w:val="single" w:color="auto" w:sz="4" w:space="0"/>
              <w:bottom w:val="single" w:color="auto" w:sz="4" w:space="0"/>
              <w:right w:val="single" w:color="auto" w:sz="4" w:space="0"/>
            </w:tcBorders>
            <w:shd w:val="clear" w:color="auto" w:fill="auto"/>
            <w:vAlign w:val="center"/>
          </w:tcPr>
          <w:p w14:paraId="626BF14C">
            <w:pPr>
              <w:pStyle w:val="15"/>
              <w:numPr>
                <w:ilvl w:val="0"/>
                <w:numId w:val="3"/>
              </w:numPr>
              <w:jc w:val="center"/>
              <w:rPr>
                <w:rFonts w:hint="eastAsia" w:ascii="黑体" w:hAnsi="黑体" w:eastAsia="黑体" w:cs="黑体"/>
                <w:color w:val="auto"/>
                <w:highlight w:val="none"/>
              </w:rPr>
            </w:pPr>
          </w:p>
        </w:tc>
        <w:tc>
          <w:tcPr>
            <w:tcW w:w="1744" w:type="pct"/>
            <w:tcBorders>
              <w:top w:val="single" w:color="auto" w:sz="4" w:space="0"/>
              <w:left w:val="single" w:color="auto" w:sz="4" w:space="0"/>
              <w:bottom w:val="single" w:color="auto" w:sz="4" w:space="0"/>
              <w:right w:val="single" w:color="auto" w:sz="4" w:space="0"/>
            </w:tcBorders>
            <w:shd w:val="clear" w:color="auto" w:fill="auto"/>
            <w:vAlign w:val="center"/>
          </w:tcPr>
          <w:p w14:paraId="4662252C">
            <w:pPr>
              <w:pStyle w:val="15"/>
              <w:jc w:val="both"/>
              <w:rPr>
                <w:rFonts w:hint="eastAsia" w:ascii="黑体" w:hAnsi="黑体" w:eastAsia="黑体" w:cs="黑体"/>
                <w:color w:val="auto"/>
                <w:highlight w:val="none"/>
              </w:rPr>
            </w:pPr>
            <w:r>
              <w:rPr>
                <w:rFonts w:hint="eastAsia" w:ascii="黑体" w:hAnsi="黑体" w:eastAsia="黑体" w:cs="黑体"/>
                <w:color w:val="auto"/>
                <w:highlight w:val="none"/>
              </w:rPr>
              <w:t>本项目的特定资格要求</w:t>
            </w:r>
          </w:p>
        </w:tc>
        <w:tc>
          <w:tcPr>
            <w:tcW w:w="2749" w:type="pct"/>
            <w:tcBorders>
              <w:top w:val="single" w:color="auto" w:sz="4" w:space="0"/>
              <w:left w:val="single" w:color="auto" w:sz="4" w:space="0"/>
              <w:bottom w:val="single" w:color="auto" w:sz="4" w:space="0"/>
              <w:right w:val="single" w:color="auto" w:sz="4" w:space="0"/>
            </w:tcBorders>
            <w:shd w:val="clear" w:color="auto" w:fill="auto"/>
            <w:vAlign w:val="center"/>
          </w:tcPr>
          <w:p w14:paraId="0DFA4EBE">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（1）</w:t>
            </w:r>
            <w:r>
              <w:rPr>
                <w:rFonts w:hint="eastAsia" w:ascii="黑体" w:hAnsi="黑体" w:eastAsia="黑体" w:cs="黑体"/>
                <w:color w:val="auto"/>
                <w:highlight w:val="none"/>
                <w:lang w:val="en-US" w:eastAsia="zh-CN"/>
              </w:rPr>
              <w:t>供应商须具有</w:t>
            </w:r>
            <w:r>
              <w:rPr>
                <w:rFonts w:hint="eastAsia" w:ascii="黑体" w:hAnsi="黑体" w:eastAsia="黑体" w:cs="黑体"/>
                <w:color w:val="auto"/>
                <w:highlight w:val="none"/>
                <w:lang w:eastAsia="zh-CN"/>
              </w:rPr>
              <w:t>《医疗器械经营许可证》</w:t>
            </w:r>
            <w:r>
              <w:rPr>
                <w:rFonts w:hint="eastAsia" w:ascii="黑体" w:hAnsi="黑体" w:eastAsia="黑体" w:cs="黑体"/>
                <w:color w:val="auto"/>
                <w:highlight w:val="none"/>
                <w:lang w:val="en-US" w:eastAsia="zh-CN"/>
              </w:rPr>
              <w:t>或《医疗器械生产许可证》，</w:t>
            </w:r>
            <w:r>
              <w:rPr>
                <w:rFonts w:hint="eastAsia" w:ascii="黑体" w:hAnsi="黑体" w:eastAsia="黑体" w:cs="黑体"/>
                <w:color w:val="auto"/>
                <w:highlight w:val="none"/>
                <w:lang w:eastAsia="zh-CN"/>
              </w:rPr>
              <w:t>和</w:t>
            </w:r>
            <w:r>
              <w:rPr>
                <w:rFonts w:hint="eastAsia" w:ascii="黑体" w:hAnsi="黑体" w:eastAsia="黑体" w:cs="黑体"/>
                <w:color w:val="auto"/>
                <w:highlight w:val="none"/>
                <w:lang w:val="en-US" w:eastAsia="zh-CN"/>
              </w:rPr>
              <w:t>所提供</w:t>
            </w:r>
            <w:r>
              <w:rPr>
                <w:rFonts w:hint="eastAsia" w:ascii="黑体" w:hAnsi="黑体" w:eastAsia="黑体" w:cs="黑体"/>
                <w:color w:val="auto"/>
                <w:highlight w:val="none"/>
                <w:lang w:eastAsia="zh-CN"/>
              </w:rPr>
              <w:t>产品的《医疗器械注册证》；</w:t>
            </w:r>
          </w:p>
          <w:p w14:paraId="5438B4E3">
            <w:pPr>
              <w:pStyle w:val="15"/>
              <w:jc w:val="both"/>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（2）所提供设备的制造商或授权代理商，制造商只能授权一个代理商参加本项目的磋商采购活动，制造商和代理商不得同时参加本项目的磋商采购活动。</w:t>
            </w:r>
          </w:p>
        </w:tc>
      </w:tr>
      <w:bookmarkEnd w:id="8"/>
    </w:tbl>
    <w:p w14:paraId="160FEBFF">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小组从质量和服务均能满足采购文件实质性要求的供应商中，按照</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由</w:t>
      </w:r>
      <w:r>
        <w:rPr>
          <w:rFonts w:hint="eastAsia" w:ascii="黑体" w:hAnsi="黑体" w:eastAsia="黑体" w:cs="黑体"/>
          <w:color w:val="auto"/>
          <w:sz w:val="24"/>
          <w:highlight w:val="none"/>
          <w:lang w:val="en-US" w:eastAsia="zh-CN"/>
        </w:rPr>
        <w:t>高到低</w:t>
      </w:r>
      <w:r>
        <w:rPr>
          <w:rFonts w:hint="eastAsia" w:ascii="黑体" w:hAnsi="黑体" w:eastAsia="黑体" w:cs="黑体"/>
          <w:color w:val="auto"/>
          <w:sz w:val="24"/>
          <w:highlight w:val="none"/>
        </w:rPr>
        <w:t>的顺序提出3名以上成交候选人，也可按事先授权直接确定成交供应商并编写评审报告。当出现两个及以上相同最</w:t>
      </w:r>
      <w:r>
        <w:rPr>
          <w:rFonts w:hint="eastAsia" w:ascii="黑体" w:hAnsi="黑体" w:eastAsia="黑体" w:cs="黑体"/>
          <w:color w:val="auto"/>
          <w:sz w:val="24"/>
          <w:highlight w:val="none"/>
          <w:lang w:val="en-US" w:eastAsia="zh-CN"/>
        </w:rPr>
        <w:t>高评分</w:t>
      </w:r>
      <w:r>
        <w:rPr>
          <w:rFonts w:hint="eastAsia" w:ascii="黑体" w:hAnsi="黑体" w:eastAsia="黑体" w:cs="黑体"/>
          <w:color w:val="auto"/>
          <w:sz w:val="24"/>
          <w:highlight w:val="none"/>
        </w:rPr>
        <w:t>时，</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小组按照最终报价由低到高确定评审结果排序；</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相同，且最终报价也相同的，</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小组按技术优劣或投票确定评审结果排序。面向小微企业项目，按</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由</w:t>
      </w:r>
      <w:r>
        <w:rPr>
          <w:rFonts w:hint="eastAsia" w:ascii="黑体" w:hAnsi="黑体" w:eastAsia="黑体" w:cs="黑体"/>
          <w:color w:val="auto"/>
          <w:sz w:val="24"/>
          <w:highlight w:val="none"/>
          <w:lang w:val="en-US" w:eastAsia="zh-CN"/>
        </w:rPr>
        <w:t>高到低</w:t>
      </w:r>
      <w:r>
        <w:rPr>
          <w:rFonts w:hint="eastAsia" w:ascii="黑体" w:hAnsi="黑体" w:eastAsia="黑体" w:cs="黑体"/>
          <w:color w:val="auto"/>
          <w:sz w:val="24"/>
          <w:highlight w:val="none"/>
        </w:rPr>
        <w:t>确定评审结果排序。</w:t>
      </w:r>
    </w:p>
    <w:p w14:paraId="675DE9EE">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2、采购人从</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小组提出的成交候选人中根据符合采购需求、质量和服务相等且</w:t>
      </w:r>
      <w:r>
        <w:rPr>
          <w:rFonts w:hint="eastAsia" w:ascii="黑体" w:hAnsi="黑体" w:eastAsia="黑体" w:cs="黑体"/>
          <w:color w:val="auto"/>
          <w:sz w:val="24"/>
          <w:highlight w:val="none"/>
          <w:lang w:val="en-US" w:eastAsia="zh-CN"/>
        </w:rPr>
        <w:t>综合评分</w:t>
      </w:r>
      <w:r>
        <w:rPr>
          <w:rFonts w:hint="eastAsia" w:ascii="黑体" w:hAnsi="黑体" w:eastAsia="黑体" w:cs="黑体"/>
          <w:color w:val="auto"/>
          <w:sz w:val="24"/>
          <w:highlight w:val="none"/>
        </w:rPr>
        <w:t>最</w:t>
      </w:r>
      <w:r>
        <w:rPr>
          <w:rFonts w:hint="eastAsia" w:ascii="黑体" w:hAnsi="黑体" w:eastAsia="黑体" w:cs="黑体"/>
          <w:color w:val="auto"/>
          <w:sz w:val="24"/>
          <w:highlight w:val="none"/>
          <w:lang w:val="en-US" w:eastAsia="zh-CN"/>
        </w:rPr>
        <w:t>高</w:t>
      </w:r>
      <w:r>
        <w:rPr>
          <w:rFonts w:hint="eastAsia" w:ascii="黑体" w:hAnsi="黑体" w:eastAsia="黑体" w:cs="黑体"/>
          <w:color w:val="auto"/>
          <w:sz w:val="24"/>
          <w:highlight w:val="none"/>
        </w:rPr>
        <w:t>的原则确定成交供应商。</w:t>
      </w:r>
    </w:p>
    <w:p w14:paraId="41366BFB">
      <w:pPr>
        <w:widowControl/>
        <w:spacing w:line="5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3、成交候选供应商因特殊原因放弃或因不可抗力提出不能履行合同，才可依据</w:t>
      </w:r>
      <w:r>
        <w:rPr>
          <w:rFonts w:hint="eastAsia" w:ascii="黑体" w:hAnsi="黑体" w:eastAsia="黑体" w:cs="黑体"/>
          <w:color w:val="auto"/>
          <w:sz w:val="24"/>
          <w:highlight w:val="none"/>
          <w:lang w:eastAsia="zh-CN"/>
        </w:rPr>
        <w:t>磋商</w:t>
      </w:r>
      <w:r>
        <w:rPr>
          <w:rFonts w:hint="eastAsia" w:ascii="黑体" w:hAnsi="黑体" w:eastAsia="黑体" w:cs="黑体"/>
          <w:color w:val="auto"/>
          <w:sz w:val="24"/>
          <w:highlight w:val="none"/>
        </w:rPr>
        <w:t>小组评审结果次序依次递补。</w:t>
      </w:r>
    </w:p>
    <w:p w14:paraId="63BE5EFF">
      <w:pPr>
        <w:pStyle w:val="2"/>
        <w:jc w:val="center"/>
        <w:rPr>
          <w:rFonts w:hint="eastAsia" w:ascii="黑体" w:hAnsi="黑体" w:eastAsia="黑体" w:cs="黑体"/>
          <w:color w:val="auto"/>
          <w:highlight w:val="none"/>
          <w:shd w:val="clear" w:color="auto" w:fill="FFFFFF"/>
        </w:rPr>
        <w:sectPr>
          <w:footerReference r:id="rId7" w:type="default"/>
          <w:pgSz w:w="11907" w:h="16841"/>
          <w:pgMar w:top="1303" w:right="1417" w:bottom="1305" w:left="1417" w:header="950" w:footer="1140" w:gutter="0"/>
          <w:pgNumType w:fmt="decimal"/>
          <w:cols w:space="720" w:num="1"/>
        </w:sectPr>
      </w:pPr>
    </w:p>
    <w:p w14:paraId="0E8A48C8">
      <w:pPr>
        <w:pStyle w:val="2"/>
        <w:jc w:val="center"/>
        <w:rPr>
          <w:rFonts w:hint="eastAsia" w:ascii="黑体" w:hAnsi="黑体" w:eastAsia="黑体" w:cs="黑体"/>
          <w:color w:val="auto"/>
          <w:highlight w:val="none"/>
          <w:shd w:val="clear" w:color="auto" w:fill="FFFFFF"/>
        </w:rPr>
      </w:pPr>
      <w:r>
        <w:rPr>
          <w:rFonts w:hint="eastAsia" w:ascii="黑体" w:hAnsi="黑体" w:eastAsia="黑体" w:cs="黑体"/>
          <w:color w:val="auto"/>
          <w:highlight w:val="none"/>
          <w:shd w:val="clear" w:color="auto" w:fill="FFFFFF"/>
        </w:rPr>
        <w:t>供应商报名表</w:t>
      </w:r>
    </w:p>
    <w:p w14:paraId="5EED6730">
      <w:pPr>
        <w:spacing w:before="120" w:beforeLines="50" w:after="120" w:afterLines="50"/>
        <w:rPr>
          <w:rFonts w:hint="eastAsia" w:ascii="黑体" w:hAnsi="黑体" w:eastAsia="黑体" w:cs="黑体"/>
          <w:color w:val="auto"/>
          <w:sz w:val="24"/>
          <w:highlight w:val="none"/>
          <w:lang w:val="en-US" w:eastAsia="zh-CN"/>
        </w:rPr>
      </w:pPr>
      <w:r>
        <w:rPr>
          <w:rFonts w:hint="eastAsia" w:ascii="黑体" w:hAnsi="黑体" w:eastAsia="黑体" w:cs="黑体"/>
          <w:color w:val="auto"/>
          <w:sz w:val="22"/>
          <w:szCs w:val="22"/>
          <w:highlight w:val="none"/>
        </w:rPr>
        <w:t>项</w:t>
      </w:r>
      <w:r>
        <w:rPr>
          <w:rFonts w:hint="eastAsia" w:ascii="黑体" w:hAnsi="黑体" w:eastAsia="黑体" w:cs="黑体"/>
          <w:color w:val="auto"/>
          <w:sz w:val="24"/>
          <w:highlight w:val="none"/>
        </w:rPr>
        <w:t>目编号：</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lang w:eastAsia="zh-CN"/>
        </w:rPr>
        <w:t>HXCT-2024-00</w:t>
      </w:r>
      <w:r>
        <w:rPr>
          <w:rFonts w:hint="eastAsia" w:ascii="黑体" w:hAnsi="黑体" w:eastAsia="黑体" w:cs="黑体"/>
          <w:color w:val="auto"/>
          <w:sz w:val="24"/>
          <w:highlight w:val="none"/>
          <w:u w:val="single"/>
          <w:lang w:val="en-US" w:eastAsia="zh-CN"/>
        </w:rPr>
        <w:t xml:space="preserve">9                                 </w:t>
      </w:r>
    </w:p>
    <w:p w14:paraId="57B90E80">
      <w:pPr>
        <w:spacing w:after="240" w:afterLines="100"/>
        <w:rPr>
          <w:rFonts w:hint="eastAsia" w:ascii="黑体" w:hAnsi="黑体" w:eastAsia="黑体" w:cs="黑体"/>
          <w:color w:val="auto"/>
          <w:kern w:val="0"/>
          <w:sz w:val="24"/>
          <w:highlight w:val="non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lang w:val="zh-CN"/>
        </w:rPr>
        <w:t xml:space="preserve">  黄石市红十字会2025年自动体外除颤仪（AED）采购项目</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lang w:val="zh-CN"/>
        </w:rPr>
        <w:t xml:space="preserve">    </w:t>
      </w:r>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6510"/>
      </w:tblGrid>
      <w:tr w14:paraId="416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14:paraId="196E5D48">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 xml:space="preserve">供应商名称 </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14:paraId="6ED320B4">
            <w:pPr>
              <w:widowControl/>
              <w:rPr>
                <w:rFonts w:hint="eastAsia" w:ascii="黑体" w:hAnsi="黑体" w:eastAsia="黑体" w:cs="黑体"/>
                <w:color w:val="auto"/>
                <w:kern w:val="0"/>
                <w:sz w:val="24"/>
                <w:highlight w:val="none"/>
              </w:rPr>
            </w:pPr>
          </w:p>
        </w:tc>
      </w:tr>
      <w:tr w14:paraId="5354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14:paraId="12AFC79C">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联系人姓名</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14:paraId="0D530282">
            <w:pPr>
              <w:widowControl/>
              <w:rPr>
                <w:rFonts w:hint="eastAsia" w:ascii="黑体" w:hAnsi="黑体" w:eastAsia="黑体" w:cs="黑体"/>
                <w:color w:val="auto"/>
                <w:kern w:val="0"/>
                <w:sz w:val="24"/>
                <w:highlight w:val="none"/>
              </w:rPr>
            </w:pPr>
          </w:p>
        </w:tc>
      </w:tr>
      <w:tr w14:paraId="0E42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14:paraId="338AA141">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联系人电话</w:t>
            </w:r>
          </w:p>
          <w:p w14:paraId="46F36B24">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（办公电话和手机）</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14:paraId="48FB29E9">
            <w:pPr>
              <w:widowControl/>
              <w:rPr>
                <w:rFonts w:hint="eastAsia" w:ascii="黑体" w:hAnsi="黑体" w:eastAsia="黑体" w:cs="黑体"/>
                <w:color w:val="auto"/>
                <w:kern w:val="0"/>
                <w:sz w:val="24"/>
                <w:highlight w:val="none"/>
              </w:rPr>
            </w:pPr>
          </w:p>
        </w:tc>
      </w:tr>
      <w:tr w14:paraId="1665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569" w:type="dxa"/>
            <w:tcBorders>
              <w:top w:val="single" w:color="auto" w:sz="4" w:space="0"/>
              <w:left w:val="single" w:color="auto" w:sz="4" w:space="0"/>
              <w:bottom w:val="single" w:color="auto" w:sz="4" w:space="0"/>
              <w:right w:val="single" w:color="auto" w:sz="4" w:space="0"/>
            </w:tcBorders>
            <w:shd w:val="clear" w:color="auto" w:fill="auto"/>
            <w:vAlign w:val="center"/>
          </w:tcPr>
          <w:p w14:paraId="6DBE8B58">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联系人邮箱</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14:paraId="3886AC87">
            <w:pPr>
              <w:widowControl/>
              <w:rPr>
                <w:rFonts w:hint="eastAsia" w:ascii="黑体" w:hAnsi="黑体" w:eastAsia="黑体" w:cs="黑体"/>
                <w:color w:val="auto"/>
                <w:kern w:val="0"/>
                <w:sz w:val="24"/>
                <w:highlight w:val="none"/>
              </w:rPr>
            </w:pPr>
          </w:p>
        </w:tc>
      </w:tr>
      <w:tr w14:paraId="4DE3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2569" w:type="dxa"/>
            <w:tcBorders>
              <w:top w:val="single" w:color="auto" w:sz="4" w:space="0"/>
              <w:left w:val="single" w:color="auto" w:sz="4" w:space="0"/>
              <w:right w:val="single" w:color="auto" w:sz="4" w:space="0"/>
            </w:tcBorders>
            <w:shd w:val="clear" w:color="auto" w:fill="auto"/>
            <w:vAlign w:val="center"/>
          </w:tcPr>
          <w:p w14:paraId="14980281">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供应商提供的</w:t>
            </w:r>
          </w:p>
          <w:p w14:paraId="4DCBFFBA">
            <w:pPr>
              <w:widowControl/>
              <w:jc w:val="center"/>
              <w:rPr>
                <w:rFonts w:hint="eastAsia" w:ascii="黑体" w:hAnsi="黑体" w:eastAsia="黑体" w:cs="黑体"/>
                <w:color w:val="auto"/>
                <w:kern w:val="0"/>
                <w:sz w:val="24"/>
                <w:highlight w:val="none"/>
              </w:rPr>
            </w:pPr>
            <w:r>
              <w:rPr>
                <w:rFonts w:hint="eastAsia" w:ascii="黑体" w:hAnsi="黑体" w:eastAsia="黑体" w:cs="黑体"/>
                <w:color w:val="auto"/>
                <w:kern w:val="0"/>
                <w:sz w:val="24"/>
                <w:highlight w:val="none"/>
              </w:rPr>
              <w:t>报名资料</w:t>
            </w:r>
          </w:p>
        </w:tc>
        <w:tc>
          <w:tcPr>
            <w:tcW w:w="6510" w:type="dxa"/>
            <w:tcBorders>
              <w:top w:val="single" w:color="auto" w:sz="4" w:space="0"/>
              <w:left w:val="single" w:color="auto" w:sz="4" w:space="0"/>
              <w:bottom w:val="single" w:color="auto" w:sz="4" w:space="0"/>
              <w:right w:val="single" w:color="auto" w:sz="4" w:space="0"/>
            </w:tcBorders>
            <w:shd w:val="clear" w:color="auto" w:fill="auto"/>
            <w:vAlign w:val="center"/>
          </w:tcPr>
          <w:p w14:paraId="09604DD7">
            <w:pPr>
              <w:pStyle w:val="16"/>
              <w:shd w:val="clear" w:color="auto" w:fill="FFFFFF"/>
              <w:spacing w:beforeAutospacing="0" w:afterAutospacing="0" w:line="360" w:lineRule="auto"/>
              <w:jc w:val="both"/>
              <w:rPr>
                <w:rFonts w:hint="eastAsia" w:ascii="黑体" w:hAnsi="黑体" w:eastAsia="黑体" w:cs="黑体"/>
                <w:color w:val="auto"/>
                <w:highlight w:val="none"/>
              </w:rPr>
            </w:pPr>
            <w:r>
              <w:rPr>
                <w:rFonts w:hint="eastAsia" w:ascii="黑体" w:hAnsi="黑体" w:eastAsia="黑体" w:cs="黑体"/>
                <w:color w:val="auto"/>
                <w:highlight w:val="none"/>
              </w:rPr>
              <w:t>此报名表置于报名资料首页，按顺序逐一提供，便于专家评审。</w:t>
            </w:r>
          </w:p>
        </w:tc>
      </w:tr>
    </w:tbl>
    <w:p w14:paraId="159D58C9">
      <w:pPr>
        <w:rPr>
          <w:rFonts w:hint="eastAsia"/>
          <w:color w:val="auto"/>
          <w:highlight w:val="none"/>
        </w:rPr>
      </w:pPr>
    </w:p>
    <w:p w14:paraId="77FEF045">
      <w:pPr>
        <w:pStyle w:val="8"/>
        <w:numPr>
          <w:ilvl w:val="0"/>
          <w:numId w:val="0"/>
        </w:numPr>
        <w:rPr>
          <w:rFonts w:hint="eastAsia"/>
          <w:color w:val="auto"/>
          <w:highlight w:val="none"/>
        </w:rPr>
      </w:pPr>
    </w:p>
    <w:p w14:paraId="3F5D1107">
      <w:pPr>
        <w:spacing w:line="378" w:lineRule="auto"/>
        <w:rPr>
          <w:rFonts w:hint="eastAsia" w:ascii="黑体" w:hAnsi="黑体" w:eastAsia="黑体" w:cs="黑体"/>
          <w:color w:val="auto"/>
          <w:sz w:val="24"/>
          <w:szCs w:val="24"/>
          <w:highlight w:val="none"/>
        </w:rPr>
      </w:pPr>
    </w:p>
    <w:p w14:paraId="79565D6B">
      <w:pPr>
        <w:pStyle w:val="8"/>
        <w:rPr>
          <w:rFonts w:hint="eastAsia"/>
          <w:color w:val="auto"/>
          <w:highlight w:val="none"/>
        </w:rPr>
        <w:sectPr>
          <w:footerReference r:id="rId8" w:type="default"/>
          <w:pgSz w:w="11907" w:h="16841"/>
          <w:pgMar w:top="1303" w:right="1417" w:bottom="1305" w:left="1417" w:header="950" w:footer="1140" w:gutter="0"/>
          <w:pgNumType w:fmt="decimal"/>
          <w:cols w:space="720" w:num="1"/>
        </w:sectPr>
      </w:pPr>
    </w:p>
    <w:p w14:paraId="5CDDF351">
      <w:pPr>
        <w:jc w:val="center"/>
        <w:rPr>
          <w:rFonts w:hint="eastAsia" w:ascii="黑体" w:hAnsi="黑体" w:eastAsia="黑体" w:cs="黑体"/>
          <w:b/>
          <w:color w:val="auto"/>
          <w:kern w:val="2"/>
          <w:sz w:val="32"/>
          <w:szCs w:val="32"/>
          <w:highlight w:val="none"/>
          <w:shd w:val="clear" w:color="auto" w:fill="FFFFFF"/>
          <w:lang w:val="en-US" w:eastAsia="zh-CN" w:bidi="ar-SA"/>
        </w:rPr>
      </w:pPr>
      <w:r>
        <w:rPr>
          <w:rFonts w:hint="eastAsia" w:ascii="黑体" w:hAnsi="黑体" w:eastAsia="黑体" w:cs="黑体"/>
          <w:b/>
          <w:color w:val="auto"/>
          <w:kern w:val="2"/>
          <w:sz w:val="32"/>
          <w:szCs w:val="32"/>
          <w:highlight w:val="none"/>
          <w:shd w:val="clear" w:color="auto" w:fill="FFFFFF"/>
          <w:lang w:val="en-US" w:eastAsia="zh-CN" w:bidi="ar-SA"/>
        </w:rPr>
        <w:t>第四章 附件格式</w:t>
      </w:r>
    </w:p>
    <w:p w14:paraId="7F532F28">
      <w:pPr>
        <w:widowControl/>
        <w:overflowPunct w:val="0"/>
        <w:jc w:val="left"/>
        <w:rPr>
          <w:rFonts w:hint="eastAsia" w:ascii="黑体" w:hAnsi="黑体" w:eastAsia="黑体" w:cs="黑体"/>
          <w:b/>
          <w:color w:val="auto"/>
          <w:sz w:val="32"/>
          <w:szCs w:val="32"/>
          <w:highlight w:val="none"/>
          <w:lang w:val="en-US" w:eastAsia="zh-CN"/>
        </w:rPr>
      </w:pPr>
      <w:bookmarkStart w:id="9" w:name="_Toc156490362"/>
      <w:bookmarkStart w:id="10" w:name="_Toc163493654"/>
      <w:r>
        <w:rPr>
          <w:rFonts w:hint="eastAsia" w:ascii="黑体" w:hAnsi="黑体" w:eastAsia="黑体" w:cs="黑体"/>
          <w:b/>
          <w:color w:val="auto"/>
          <w:sz w:val="32"/>
          <w:szCs w:val="32"/>
          <w:highlight w:val="none"/>
          <w:lang w:val="en-US" w:eastAsia="zh-CN"/>
        </w:rPr>
        <w:t xml:space="preserve">附件一 </w:t>
      </w:r>
    </w:p>
    <w:p w14:paraId="7F07B301">
      <w:pPr>
        <w:pStyle w:val="3"/>
        <w:numPr>
          <w:ilvl w:val="0"/>
          <w:numId w:val="4"/>
        </w:numPr>
        <w:jc w:val="center"/>
        <w:rPr>
          <w:rFonts w:hint="eastAsia" w:ascii="黑体" w:hAnsi="黑体" w:eastAsia="黑体" w:cs="黑体"/>
          <w:b/>
          <w:color w:val="auto"/>
          <w:sz w:val="24"/>
          <w:szCs w:val="24"/>
          <w:highlight w:val="none"/>
        </w:rPr>
      </w:pPr>
      <w:bookmarkStart w:id="11" w:name="_Toc163493645"/>
      <w:r>
        <w:rPr>
          <w:rFonts w:hint="eastAsia" w:ascii="黑体" w:hAnsi="黑体" w:eastAsia="黑体" w:cs="黑体"/>
          <w:b/>
          <w:color w:val="auto"/>
          <w:sz w:val="24"/>
          <w:szCs w:val="24"/>
          <w:highlight w:val="none"/>
        </w:rPr>
        <w:t>法定代表人（负责人）身份证明</w:t>
      </w:r>
      <w:bookmarkEnd w:id="11"/>
    </w:p>
    <w:p w14:paraId="5CF53FF0">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1FA785C0">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单位性质：</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1BC9E588">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DFE3104">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成立时间：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2077B041">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经营期限：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2DD15231">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性别：</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6C6DBE50">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年龄：</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职务：</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2018D089">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系</w:t>
      </w:r>
      <w:r>
        <w:rPr>
          <w:rFonts w:hint="eastAsia" w:ascii="黑体" w:hAnsi="黑体" w:eastAsia="黑体" w:cs="黑体"/>
          <w:color w:val="auto"/>
          <w:sz w:val="24"/>
          <w:szCs w:val="24"/>
          <w:highlight w:val="none"/>
          <w:u w:val="single"/>
        </w:rPr>
        <w:t xml:space="preserve">      （供应商名称）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 xml:space="preserve">的法定代表人（负责人）。 </w:t>
      </w:r>
    </w:p>
    <w:p w14:paraId="6F910235">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特此证明。</w:t>
      </w:r>
    </w:p>
    <w:p w14:paraId="7469AFE3">
      <w:pPr>
        <w:spacing w:line="360" w:lineRule="auto"/>
        <w:ind w:firstLine="480" w:firstLineChars="200"/>
        <w:rPr>
          <w:rFonts w:hint="eastAsia" w:ascii="黑体" w:hAnsi="黑体" w:eastAsia="黑体" w:cs="黑体"/>
          <w:color w:val="auto"/>
          <w:sz w:val="24"/>
          <w:szCs w:val="24"/>
          <w:highlight w:val="none"/>
        </w:rPr>
      </w:pPr>
    </w:p>
    <w:p w14:paraId="11E049A2">
      <w:pPr>
        <w:widowControl/>
        <w:spacing w:line="360" w:lineRule="auto"/>
        <w:rPr>
          <w:rFonts w:hint="eastAsia" w:ascii="黑体" w:hAnsi="黑体" w:eastAsia="黑体" w:cs="黑体"/>
          <w:color w:val="auto"/>
          <w:sz w:val="24"/>
          <w:szCs w:val="24"/>
          <w:highlight w:val="none"/>
        </w:rPr>
      </w:pPr>
    </w:p>
    <w:p w14:paraId="4097976C">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供应商名称：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（盖章）</w:t>
      </w:r>
    </w:p>
    <w:p w14:paraId="50378534">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   年  月  日</w:t>
      </w:r>
    </w:p>
    <w:p w14:paraId="11A475BF">
      <w:pPr>
        <w:rPr>
          <w:rFonts w:hint="eastAsia" w:ascii="黑体" w:hAnsi="黑体" w:eastAsia="黑体" w:cs="黑体"/>
          <w:color w:val="auto"/>
          <w:sz w:val="24"/>
          <w:szCs w:val="24"/>
          <w:highlight w:val="non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14:paraId="3B41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shd w:val="clear" w:color="auto" w:fill="auto"/>
          </w:tcPr>
          <w:p w14:paraId="429D4F60">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附：法定代表人（负责人）身份证复印件</w:t>
            </w:r>
          </w:p>
        </w:tc>
      </w:tr>
    </w:tbl>
    <w:p w14:paraId="2719840F">
      <w:pPr>
        <w:pStyle w:val="3"/>
        <w:numPr>
          <w:ilvl w:val="0"/>
          <w:numId w:val="4"/>
        </w:numPr>
        <w:jc w:val="center"/>
        <w:rPr>
          <w:rFonts w:hint="eastAsia" w:ascii="黑体" w:hAnsi="黑体" w:eastAsia="黑体" w:cs="黑体"/>
          <w:b/>
          <w:color w:val="auto"/>
          <w:sz w:val="24"/>
          <w:szCs w:val="24"/>
          <w:highlight w:val="none"/>
        </w:rPr>
        <w:sectPr>
          <w:headerReference r:id="rId9" w:type="default"/>
          <w:footerReference r:id="rId10" w:type="default"/>
          <w:pgSz w:w="11907" w:h="16841"/>
          <w:pgMar w:top="1304" w:right="1417" w:bottom="1304" w:left="1417" w:header="950" w:footer="1140" w:gutter="0"/>
          <w:pgNumType w:fmt="decimal"/>
          <w:cols w:space="720" w:num="1"/>
        </w:sectPr>
      </w:pPr>
      <w:bookmarkStart w:id="12" w:name="_Toc163493646"/>
    </w:p>
    <w:p w14:paraId="250EECAF">
      <w:pPr>
        <w:pStyle w:val="3"/>
        <w:numPr>
          <w:ilvl w:val="0"/>
          <w:numId w:val="4"/>
        </w:numPr>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法定代表人（负责人）授权书</w:t>
      </w:r>
      <w:bookmarkEnd w:id="12"/>
    </w:p>
    <w:p w14:paraId="0A5EC5E5">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本人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（供应商名称）的法定代表人（负责人），现委托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（姓名）为我方代理人。代理人根据授权，以我方名义签署、澄清、说明、补正、提交、撤回、修改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（项目名称）响应文件、签订合同和处理有关事宜，其法律后果由我方承担。</w:t>
      </w:r>
    </w:p>
    <w:p w14:paraId="69D0D879">
      <w:pPr>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委托期限：</w:t>
      </w:r>
      <w:r>
        <w:rPr>
          <w:rFonts w:hint="eastAsia" w:ascii="黑体" w:hAnsi="黑体" w:eastAsia="黑体" w:cs="黑体"/>
          <w:color w:val="auto"/>
          <w:sz w:val="24"/>
          <w:szCs w:val="24"/>
          <w:highlight w:val="none"/>
          <w:u w:val="single"/>
        </w:rPr>
        <w:t xml:space="preserve">                   </w:t>
      </w:r>
    </w:p>
    <w:p w14:paraId="316E244D">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代理人无转委托权。</w:t>
      </w:r>
    </w:p>
    <w:p w14:paraId="6321D9F3">
      <w:pPr>
        <w:spacing w:line="360" w:lineRule="auto"/>
        <w:ind w:firstLine="480" w:firstLineChars="200"/>
        <w:rPr>
          <w:rFonts w:hint="eastAsia" w:ascii="黑体" w:hAnsi="黑体" w:eastAsia="黑体" w:cs="黑体"/>
          <w:color w:val="auto"/>
          <w:sz w:val="24"/>
          <w:szCs w:val="24"/>
          <w:highlight w:val="none"/>
        </w:rPr>
      </w:pPr>
    </w:p>
    <w:p w14:paraId="3B7C4325">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（盖单位章）</w:t>
      </w:r>
    </w:p>
    <w:p w14:paraId="01B61167">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法定代表人（负责人）：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461AAA18">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身份证号码：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35A025D1">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35EDFBF8">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18431246">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日      期：   年  月  日</w:t>
      </w:r>
    </w:p>
    <w:p w14:paraId="5BE9EEAB">
      <w:pPr>
        <w:autoSpaceDE w:val="0"/>
        <w:autoSpaceDN w:val="0"/>
        <w:adjustRightInd w:val="0"/>
        <w:spacing w:line="300" w:lineRule="auto"/>
        <w:ind w:right="480" w:firstLine="4560" w:firstLineChars="1900"/>
        <w:rPr>
          <w:rFonts w:hint="eastAsia" w:ascii="黑体" w:hAnsi="黑体" w:eastAsia="黑体" w:cs="黑体"/>
          <w:color w:val="auto"/>
          <w:sz w:val="24"/>
          <w:szCs w:val="24"/>
          <w:highlight w:val="none"/>
        </w:rPr>
      </w:pPr>
    </w:p>
    <w:p w14:paraId="3A010951">
      <w:pPr>
        <w:rPr>
          <w:rFonts w:hint="eastAsia" w:ascii="黑体" w:hAnsi="黑体" w:eastAsia="黑体" w:cs="黑体"/>
          <w:color w:val="auto"/>
          <w:sz w:val="24"/>
          <w:szCs w:val="24"/>
          <w:highlight w:val="none"/>
        </w:rPr>
      </w:pP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3"/>
      </w:tblGrid>
      <w:tr w14:paraId="0C16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5000" w:type="pct"/>
            <w:shd w:val="clear" w:color="auto" w:fill="auto"/>
          </w:tcPr>
          <w:p w14:paraId="642B6D8B">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附：法定代表人（负责人）和授权代表身份证复印件(正反面)</w:t>
            </w:r>
          </w:p>
        </w:tc>
      </w:tr>
    </w:tbl>
    <w:p w14:paraId="085A7F29">
      <w:pPr>
        <w:rPr>
          <w:rFonts w:hint="eastAsia" w:ascii="黑体" w:hAnsi="黑体" w:eastAsia="黑体" w:cs="黑体"/>
          <w:color w:val="auto"/>
          <w:highlight w:val="none"/>
        </w:rPr>
      </w:pPr>
    </w:p>
    <w:p w14:paraId="25400138">
      <w:pPr>
        <w:widowControl/>
        <w:overflowPunct w:val="0"/>
        <w:jc w:val="left"/>
        <w:rPr>
          <w:rFonts w:hint="eastAsia" w:ascii="黑体" w:hAnsi="黑体" w:eastAsia="黑体" w:cs="黑体"/>
          <w:b/>
          <w:color w:val="auto"/>
          <w:sz w:val="32"/>
          <w:szCs w:val="32"/>
          <w:highlight w:val="none"/>
          <w:lang w:val="en-US" w:eastAsia="zh-CN"/>
        </w:rPr>
        <w:sectPr>
          <w:footerReference r:id="rId11" w:type="default"/>
          <w:pgSz w:w="11907" w:h="16841"/>
          <w:pgMar w:top="1304" w:right="1417" w:bottom="1304" w:left="1417" w:header="950" w:footer="1140" w:gutter="0"/>
          <w:pgNumType w:fmt="decimal"/>
          <w:cols w:space="720" w:num="1"/>
        </w:sectPr>
      </w:pPr>
    </w:p>
    <w:p w14:paraId="0DCD4C25">
      <w:pPr>
        <w:widowControl/>
        <w:overflowPunct w:val="0"/>
        <w:jc w:val="left"/>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附件二</w:t>
      </w:r>
    </w:p>
    <w:p w14:paraId="36A50F11">
      <w:pPr>
        <w:widowControl/>
        <w:overflowPunct w:val="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关于资格条件的有关承诺及声明</w:t>
      </w:r>
      <w:bookmarkEnd w:id="9"/>
      <w:bookmarkEnd w:id="10"/>
    </w:p>
    <w:p w14:paraId="4D3589C6">
      <w:pPr>
        <w:rPr>
          <w:rFonts w:hint="eastAsia" w:ascii="黑体" w:hAnsi="黑体" w:eastAsia="黑体" w:cs="黑体"/>
          <w:b/>
          <w:color w:val="auto"/>
          <w:szCs w:val="21"/>
          <w:highlight w:val="none"/>
        </w:rPr>
      </w:pPr>
    </w:p>
    <w:p w14:paraId="39017529">
      <w:pPr>
        <w:adjustRightInd w:val="0"/>
        <w:snapToGrid w:val="0"/>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致：</w:t>
      </w:r>
      <w:r>
        <w:rPr>
          <w:rFonts w:hint="eastAsia" w:ascii="黑体" w:hAnsi="黑体" w:eastAsia="黑体" w:cs="黑体"/>
          <w:color w:val="auto"/>
          <w:sz w:val="24"/>
          <w:szCs w:val="24"/>
          <w:highlight w:val="none"/>
          <w:u w:val="single"/>
        </w:rPr>
        <w:t>采购人/采购代理机构</w:t>
      </w:r>
    </w:p>
    <w:p w14:paraId="2D6E6743">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我方承诺完全满足竞争性磋商文件对供应商的资格要求：</w:t>
      </w:r>
    </w:p>
    <w:p w14:paraId="2B6A2BB1">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1.满足《中华人民共和国政府采购法》第二十二条规定；</w:t>
      </w:r>
    </w:p>
    <w:p w14:paraId="529DCB36">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（1）具有独立承担民事责任的能力；</w:t>
      </w:r>
    </w:p>
    <w:p w14:paraId="207FE7A7">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（2）具有良好的商业信誉和健全的财务会计制度；</w:t>
      </w:r>
    </w:p>
    <w:p w14:paraId="32D5B8AC">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（3）具有履行合同所必需的设备和专业技术能力；</w:t>
      </w:r>
    </w:p>
    <w:p w14:paraId="0F9605CA">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（4）有依法缴纳税收和社会保障资金的良好记录；</w:t>
      </w:r>
    </w:p>
    <w:p w14:paraId="3193314D">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（5）参加政府采购活动前三年内，在经营活动中没有重大违法记录：</w:t>
      </w:r>
    </w:p>
    <w:p w14:paraId="504B8BAD">
      <w:pPr>
        <w:pStyle w:val="17"/>
        <w:numPr>
          <w:ilvl w:val="0"/>
          <w:numId w:val="5"/>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未因违法经营被追究过刑事责任；</w:t>
      </w:r>
    </w:p>
    <w:p w14:paraId="16637954">
      <w:pPr>
        <w:pStyle w:val="17"/>
        <w:numPr>
          <w:ilvl w:val="0"/>
          <w:numId w:val="5"/>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未因违法经营被责令停产停业、吊销许可证或者执照；</w:t>
      </w:r>
    </w:p>
    <w:p w14:paraId="2B0EFBFD">
      <w:pPr>
        <w:pStyle w:val="17"/>
        <w:numPr>
          <w:ilvl w:val="0"/>
          <w:numId w:val="5"/>
        </w:numPr>
        <w:adjustRightInd w:val="0"/>
        <w:snapToGrid w:val="0"/>
        <w:spacing w:line="360" w:lineRule="auto"/>
        <w:ind w:firstLineChars="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shd w:val="clear" w:color="auto" w:fill="FFFFFF"/>
        </w:rPr>
        <w:t>我</w:t>
      </w:r>
      <w:r>
        <w:rPr>
          <w:rFonts w:hint="eastAsia" w:ascii="黑体" w:hAnsi="黑体" w:eastAsia="黑体" w:cs="黑体"/>
          <w:color w:val="auto"/>
          <w:sz w:val="24"/>
          <w:szCs w:val="24"/>
          <w:highlight w:val="none"/>
        </w:rPr>
        <w:t>方</w:t>
      </w:r>
      <w:r>
        <w:rPr>
          <w:rFonts w:hint="eastAsia" w:ascii="黑体" w:hAnsi="黑体" w:eastAsia="黑体" w:cs="黑体"/>
          <w:color w:val="auto"/>
          <w:sz w:val="24"/>
          <w:szCs w:val="24"/>
          <w:highlight w:val="none"/>
          <w:shd w:val="clear" w:color="auto" w:fill="FFFFFF"/>
        </w:rPr>
        <w:t>未因违法经营被处以较大数额罚款等行政处罚。</w:t>
      </w:r>
    </w:p>
    <w:p w14:paraId="589D1E31">
      <w:pPr>
        <w:widowControl/>
        <w:adjustRightInd w:val="0"/>
        <w:snapToGrid w:val="0"/>
        <w:spacing w:line="360" w:lineRule="auto"/>
        <w:ind w:firstLine="42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（6）满足法律、行政法规规定的其他条件。</w:t>
      </w:r>
    </w:p>
    <w:p w14:paraId="33511AED">
      <w:pPr>
        <w:adjustRightInd w:val="0"/>
        <w:snapToGrid w:val="0"/>
        <w:spacing w:line="36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2.我公司未与单位负责人为同一人或者存在直接控股、管理关系的不同供应商，同时参加本项目同一合同项下的政府采购活动。</w:t>
      </w:r>
    </w:p>
    <w:p w14:paraId="05D1181C">
      <w:pPr>
        <w:adjustRightInd w:val="0"/>
        <w:snapToGrid w:val="0"/>
        <w:spacing w:line="360" w:lineRule="auto"/>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3.我方未为本采购项目提供整体设计、规范编制或者项目管理、监理、检测等服务的。</w:t>
      </w:r>
    </w:p>
    <w:p w14:paraId="0E4901A1">
      <w:pPr>
        <w:adjustRightInd w:val="0"/>
        <w:snapToGrid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我方保证上述信息的完整、客观、真实、准确，并愿意承担我方因提供虚假材料谋骗取成交所引起的一切法律后果。</w:t>
      </w:r>
    </w:p>
    <w:p w14:paraId="675A1DF8">
      <w:pPr>
        <w:spacing w:line="360" w:lineRule="auto"/>
        <w:rPr>
          <w:rFonts w:hint="eastAsia" w:ascii="黑体" w:hAnsi="黑体" w:eastAsia="黑体" w:cs="黑体"/>
          <w:color w:val="auto"/>
          <w:sz w:val="24"/>
          <w:szCs w:val="24"/>
          <w:highlight w:val="none"/>
          <w:u w:val="single"/>
          <w:lang w:val="zh-CN"/>
        </w:rPr>
      </w:pPr>
      <w:r>
        <w:rPr>
          <w:rFonts w:hint="eastAsia" w:ascii="黑体" w:hAnsi="黑体" w:eastAsia="黑体" w:cs="黑体"/>
          <w:color w:val="auto"/>
          <w:sz w:val="24"/>
          <w:szCs w:val="24"/>
          <w:highlight w:val="none"/>
          <w:lang w:val="zh-CN"/>
        </w:rPr>
        <w:t>供应商（</w:t>
      </w:r>
      <w:r>
        <w:rPr>
          <w:rFonts w:hint="eastAsia" w:ascii="黑体" w:hAnsi="黑体" w:eastAsia="黑体" w:cs="黑体"/>
          <w:color w:val="auto"/>
          <w:sz w:val="24"/>
          <w:szCs w:val="24"/>
          <w:highlight w:val="none"/>
          <w:lang w:val="en-US" w:eastAsia="zh-CN"/>
        </w:rPr>
        <w:t>盖章</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u w:val="single"/>
          <w:lang w:val="zh-CN"/>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lang w:val="zh-CN"/>
        </w:rPr>
        <w:t xml:space="preserve">    </w:t>
      </w:r>
    </w:p>
    <w:p w14:paraId="46065D6A">
      <w:pPr>
        <w:spacing w:line="360" w:lineRule="auto"/>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lang w:val="zh-CN"/>
        </w:rPr>
        <w:t>法定代表人或其委托代理人(签字</w:t>
      </w:r>
      <w:r>
        <w:rPr>
          <w:rFonts w:hint="eastAsia" w:ascii="黑体" w:hAnsi="黑体" w:eastAsia="黑体" w:cs="黑体"/>
          <w:color w:val="auto"/>
          <w:sz w:val="24"/>
          <w:szCs w:val="24"/>
          <w:highlight w:val="none"/>
          <w:lang w:val="en-US" w:eastAsia="zh-CN"/>
        </w:rPr>
        <w:t>或盖章</w:t>
      </w:r>
      <w:r>
        <w:rPr>
          <w:rFonts w:hint="eastAsia" w:ascii="黑体" w:hAnsi="黑体" w:eastAsia="黑体" w:cs="黑体"/>
          <w:color w:val="auto"/>
          <w:sz w:val="24"/>
          <w:szCs w:val="24"/>
          <w:highlight w:val="none"/>
          <w:lang w:val="zh-CN"/>
        </w:rPr>
        <w:t>):</w:t>
      </w:r>
      <w:r>
        <w:rPr>
          <w:rFonts w:hint="eastAsia" w:ascii="黑体" w:hAnsi="黑体" w:eastAsia="黑体" w:cs="黑体"/>
          <w:color w:val="auto"/>
          <w:sz w:val="24"/>
          <w:szCs w:val="24"/>
          <w:highlight w:val="none"/>
          <w:u w:val="single"/>
          <w:lang w:val="en-US" w:eastAsia="zh-CN"/>
        </w:rPr>
        <w:t xml:space="preserve">           </w:t>
      </w:r>
    </w:p>
    <w:p w14:paraId="0C924C5F">
      <w:pPr>
        <w:spacing w:line="360" w:lineRule="auto"/>
        <w:rPr>
          <w:rFonts w:hint="eastAsia" w:ascii="黑体" w:hAnsi="黑体" w:eastAsia="黑体" w:cs="黑体"/>
          <w:color w:val="auto"/>
          <w:sz w:val="24"/>
          <w:szCs w:val="24"/>
          <w:highlight w:val="none"/>
          <w:u w:val="single"/>
          <w:lang w:val="zh-CN"/>
        </w:rPr>
      </w:pPr>
      <w:r>
        <w:rPr>
          <w:rFonts w:hint="eastAsia" w:ascii="黑体" w:hAnsi="黑体" w:eastAsia="黑体" w:cs="黑体"/>
          <w:color w:val="auto"/>
          <w:sz w:val="24"/>
          <w:szCs w:val="24"/>
          <w:highlight w:val="none"/>
        </w:rPr>
        <w:t>日  期：</w:t>
      </w:r>
      <w:r>
        <w:rPr>
          <w:rFonts w:hint="eastAsia" w:ascii="黑体" w:hAnsi="黑体" w:eastAsia="黑体" w:cs="黑体"/>
          <w:color w:val="auto"/>
          <w:sz w:val="24"/>
          <w:szCs w:val="24"/>
          <w:highlight w:val="none"/>
          <w:u w:val="single"/>
          <w:lang w:val="zh-CN"/>
        </w:rPr>
        <w:t xml:space="preserve">                             </w:t>
      </w:r>
    </w:p>
    <w:p w14:paraId="3C0C3D78">
      <w:pPr>
        <w:pStyle w:val="4"/>
        <w:rPr>
          <w:rFonts w:hint="eastAsia" w:ascii="黑体" w:hAnsi="黑体" w:eastAsia="黑体" w:cs="黑体"/>
          <w:color w:val="auto"/>
          <w:highlight w:val="none"/>
        </w:rPr>
      </w:pPr>
    </w:p>
    <w:sectPr>
      <w:footerReference r:id="rId12" w:type="default"/>
      <w:pgSz w:w="11907" w:h="16841"/>
      <w:pgMar w:top="1304" w:right="1417" w:bottom="1304" w:left="1417" w:header="950" w:footer="11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32E9">
    <w:pPr>
      <w:pStyle w:val="4"/>
      <w:spacing w:line="180"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87D3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A87D3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FC20">
    <w:pPr>
      <w:pStyle w:val="4"/>
      <w:spacing w:line="180"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4D722">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84D722">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F63A8">
    <w:pPr>
      <w:pStyle w:val="4"/>
      <w:spacing w:line="180"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8CAE3">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E08CAE3">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46B">
    <w:pPr>
      <w:pStyle w:val="4"/>
      <w:spacing w:line="182" w:lineRule="auto"/>
      <w:ind w:left="5036"/>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A8D1F">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0EA8D1F">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AFAD">
    <w:pPr>
      <w:pStyle w:val="4"/>
      <w:spacing w:line="182" w:lineRule="auto"/>
      <w:ind w:left="503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4DE3">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CB4DE3">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7C94C">
    <w:pPr>
      <w:pStyle w:val="4"/>
      <w:spacing w:line="182" w:lineRule="auto"/>
      <w:ind w:left="503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C4122">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07C4122">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D05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50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03BB5"/>
    <w:multiLevelType w:val="multilevel"/>
    <w:tmpl w:val="98B03BB5"/>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A3FEA6D7"/>
    <w:multiLevelType w:val="singleLevel"/>
    <w:tmpl w:val="A3FEA6D7"/>
    <w:lvl w:ilvl="0" w:tentative="0">
      <w:start w:val="2"/>
      <w:numFmt w:val="chineseCounting"/>
      <w:suff w:val="space"/>
      <w:lvlText w:val="第%1部分"/>
      <w:lvlJc w:val="left"/>
      <w:rPr>
        <w:rFonts w:hint="eastAsia"/>
      </w:rPr>
    </w:lvl>
  </w:abstractNum>
  <w:abstractNum w:abstractNumId="2">
    <w:nsid w:val="C19C332E"/>
    <w:multiLevelType w:val="singleLevel"/>
    <w:tmpl w:val="C19C332E"/>
    <w:lvl w:ilvl="0" w:tentative="0">
      <w:start w:val="5"/>
      <w:numFmt w:val="decimal"/>
      <w:suff w:val="nothing"/>
      <w:lvlText w:val="（%1）"/>
      <w:lvlJc w:val="left"/>
    </w:lvl>
  </w:abstractNum>
  <w:abstractNum w:abstractNumId="3">
    <w:nsid w:val="512D9CFA"/>
    <w:multiLevelType w:val="multilevel"/>
    <w:tmpl w:val="512D9CF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F50025"/>
    <w:multiLevelType w:val="multilevel"/>
    <w:tmpl w:val="73F5002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M0ODQ0ZGE5MDhjZDAxYTY4ZWFlZGE0ZjIzOGM4NzgifQ=="/>
  </w:docVars>
  <w:rsids>
    <w:rsidRoot w:val="00000000"/>
    <w:rsid w:val="20191C70"/>
    <w:rsid w:val="22495ABD"/>
    <w:rsid w:val="273E3C31"/>
    <w:rsid w:val="27A05696"/>
    <w:rsid w:val="3452756D"/>
    <w:rsid w:val="349F4A49"/>
    <w:rsid w:val="3DAC41F3"/>
    <w:rsid w:val="3DE54245"/>
    <w:rsid w:val="44337C62"/>
    <w:rsid w:val="5C712E19"/>
    <w:rsid w:val="76C97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hint="default" w:ascii="Arial" w:hAnsi="Arial" w:eastAsia="黑体"/>
      <w:b/>
      <w:sz w:val="32"/>
      <w:szCs w:val="32"/>
    </w:rPr>
  </w:style>
  <w:style w:type="paragraph" w:styleId="3">
    <w:name w:val="heading 3"/>
    <w:basedOn w:val="1"/>
    <w:next w:val="1"/>
    <w:qFormat/>
    <w:uiPriority w:val="0"/>
    <w:pPr>
      <w:keepNext/>
      <w:keepLines/>
      <w:spacing w:before="260" w:after="260"/>
      <w:ind w:left="1080" w:hanging="720"/>
      <w:outlineLvl w:val="2"/>
    </w:pPr>
    <w:rPr>
      <w:rFonts w:hint="default" w:ascii="Times New Roman" w:hAnsi="Times New Roman"/>
      <w:sz w:val="24"/>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Arial" w:hAnsi="Arial" w:eastAsia="Arial" w:cs="Arial"/>
      <w:sz w:val="21"/>
      <w:szCs w:val="21"/>
      <w:lang w:val="en-US" w:eastAsia="en-US" w:bidi="ar-SA"/>
    </w:rPr>
  </w:style>
  <w:style w:type="paragraph" w:styleId="5">
    <w:name w:val="footer"/>
    <w:basedOn w:val="1"/>
    <w:qFormat/>
    <w:uiPriority w:val="0"/>
    <w:pPr>
      <w:snapToGrid w:val="0"/>
      <w:jc w:val="left"/>
    </w:pPr>
    <w:rPr>
      <w:rFonts w:hint="default"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after="120"/>
    </w:pPr>
    <w:rPr>
      <w:rFonts w:hint="default" w:ascii="Calibri" w:eastAsia="Calibri"/>
      <w:b/>
      <w:caps/>
      <w:sz w:val="20"/>
      <w:szCs w:val="20"/>
    </w:rPr>
  </w:style>
  <w:style w:type="paragraph" w:styleId="8">
    <w:name w:val="Body Text First Indent 2"/>
    <w:basedOn w:val="1"/>
    <w:next w:val="1"/>
    <w:qFormat/>
    <w:uiPriority w:val="0"/>
    <w:pPr>
      <w:ind w:firstLine="200" w:firstLineChars="200"/>
    </w:pPr>
  </w:style>
  <w:style w:type="table" w:styleId="10">
    <w:name w:val="Table Grid"/>
    <w:basedOn w:val="9"/>
    <w:qFormat/>
    <w:uiPriority w:val="0"/>
    <w:pPr>
      <w:widowControl w:val="0"/>
      <w:autoSpaceDE/>
      <w:autoSpaceDN/>
      <w:spacing w:before="0" w:after="0" w:line="240" w:lineRule="auto"/>
      <w:ind w:left="0" w:firstLine="0"/>
      <w:jc w:val="both"/>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No Spacing"/>
    <w:qFormat/>
    <w:uiPriority w:val="0"/>
    <w:pPr>
      <w:widowControl w:val="0"/>
    </w:pPr>
    <w:rPr>
      <w:rFonts w:hint="default" w:ascii="宋体" w:hAnsi="宋体" w:eastAsia="宋体" w:cs="Times New Roman"/>
      <w:kern w:val="2"/>
      <w:sz w:val="21"/>
      <w:szCs w:val="22"/>
      <w:lang w:val="en-US" w:eastAsia="zh-CN" w:bidi="ar-SA"/>
    </w:rPr>
  </w:style>
  <w:style w:type="paragraph" w:customStyle="1" w:styleId="16">
    <w:name w:val="Normal (Web)"/>
    <w:basedOn w:val="1"/>
    <w:qFormat/>
    <w:uiPriority w:val="0"/>
    <w:pPr>
      <w:widowControl/>
      <w:spacing w:before="100" w:beforeAutospacing="1" w:after="100" w:afterAutospacing="1"/>
      <w:jc w:val="left"/>
    </w:pPr>
    <w:rPr>
      <w:rFonts w:hint="default" w:ascii="宋体" w:hAnsi="宋体" w:cs="宋体"/>
      <w:kern w:val="0"/>
      <w:sz w:val="24"/>
    </w:r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5022</Words>
  <Characters>5387</Characters>
  <TotalTime>2</TotalTime>
  <ScaleCrop>false</ScaleCrop>
  <LinksUpToDate>false</LinksUpToDate>
  <CharactersWithSpaces>5928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2022-01-26T09:37:00Z</dcterms:created>
  <dc:creator>Scends_ge</dc:creator>
  <cp:lastModifiedBy>♥</cp:lastModifiedBy>
  <dcterms:modified xsi:type="dcterms:W3CDTF">2025-09-09T03:18:22Z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2024-07-23T10:06:08Z</vt:filetime>
  </property>
  <property fmtid="{D5CDD505-2E9C-101B-9397-08002B2CF9AE}" pid="4" name="KSOProductBuildVer">
    <vt:lpwstr>2052-12.1.0.21915</vt:lpwstr>
  </property>
  <property fmtid="{D5CDD505-2E9C-101B-9397-08002B2CF9AE}" pid="5" name="ICV">
    <vt:lpwstr>58E853F580F7478BA662F97B94E2C888_12</vt:lpwstr>
  </property>
  <property fmtid="{D5CDD505-2E9C-101B-9397-08002B2CF9AE}" pid="6" name="KSOTemplateDocerSaveRecord">
    <vt:lpwstr>eyJoZGlkIjoiZjM0ODQ0ZGE5MDhjZDAxYTY4ZWFlZGE0ZjIzOGM4NzgiLCJ1c2VySWQiOiIxMjA0MzE0ODY4In0=</vt:lpwstr>
  </property>
</Properties>
</file>